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Logo"/>
      </w:pPr>
      <w:r>
        <w:drawing>
          <wp:inline distT="0" distB="0" distL="0" distR="0">
            <wp:extent cx="2004250" cy="384048"/>
            <wp:docPr id="10" name="SolerWorks" descr="SolerWorks"/>
            <a:graphic>
              <a:graphicData uri="http://schemas.openxmlformats.org/drawingml/2006/picture">
                <pic:pic>
                  <pic:nvPicPr>
                    <pic:cNvPr id="10" name="solerworks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0042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Security Questionnaire</w:t>
      </w:r>
    </w:p>
    <w:p>
      <w:pPr>
        <w:pStyle w:val="Subtitle"/>
      </w:pPr>
      <w:r>
        <w:t xml:space="preserve">Responses from SolerWorks</w:t>
      </w:r>
    </w:p>
    <w:tbl>
      <w:tblPr>
        <w:tblStyle w:val="SWForm"/>
        <w:tblW w:w="9026" w:type="dxa"/>
        <w:tblLayout w:type="fixed"/>
        <w:tblLook w:val="0420" w:firstRow="0" w:lastRow="0" w:firstColumn="1" w:lastColumn="0" w:noHBand="1" w:noVBand="1"/>
      </w:tblPr>
      <w:tblGrid>
        <w:gridCol w:w="2256"/>
        <w:gridCol w:w="6770"/>
      </w:tblGrid>
      <w:tr>
        <w:trPr>
          <w:cantSplit/>
        </w:trPr>
        <w:tc>
          <w:tcPr>
            <w:tcW w:w="2256" w:type="dxa"/>
          </w:tcPr>
          <w:p>
            <w:pPr>
              <w:pStyle w:val="TableText"/>
            </w:pPr>
            <w:r>
              <w:t xml:space="preserve">Parties</w:t>
            </w:r>
          </w:p>
        </w:tc>
        <w:tc>
          <w:tcPr>
            <w:tcW w:w="6770" w:type="dxa"/>
          </w:tcPr>
          <w:p>
            <w:pPr>
              <w:pStyle w:val="TableText"/>
            </w:pPr>
            <w:r>
              <w:t xml:space="preserve">The reviewing enterprise</w:t>
            </w:r>
            <w:r>
              <w:t xml:space="preserve"> and SolerWorks LTDA</w:t>
            </w:r>
          </w:p>
        </w:tc>
      </w:tr>
      <w:tr>
        <w:trPr>
          <w:cantSplit/>
        </w:trPr>
        <w:tc>
          <w:tcPr>
            <w:tcW w:w="2256" w:type="dxa"/>
          </w:tcPr>
          <w:p>
            <w:pPr>
              <w:pStyle w:val="TableText"/>
            </w:pPr>
            <w:r>
              <w:t xml:space="preserve">Reference</w:t>
            </w:r>
          </w:p>
        </w:tc>
        <w:tc>
          <w:tcPr>
            <w:tcW w:w="6770" w:type="dxa"/>
          </w:tcPr>
          <w:p>
            <w:pPr>
              <w:pStyle w:val="TableText"/>
            </w:pPr>
            <w:r>
              <w:t xml:space="preserve">SQ-2026-STANDARD</w:t>
            </w:r>
          </w:p>
        </w:tc>
      </w:tr>
      <w:tr>
        <w:trPr>
          <w:cantSplit/>
        </w:trPr>
        <w:tc>
          <w:tcPr>
            <w:tcW w:w="2256" w:type="dxa"/>
          </w:tcPr>
          <w:p>
            <w:pPr>
              <w:pStyle w:val="TableText"/>
            </w:pPr>
            <w:r>
              <w:t xml:space="preserve">Version</w:t>
            </w:r>
          </w:p>
        </w:tc>
        <w:tc>
          <w:tcPr>
            <w:tcW w:w="6770" w:type="dxa"/>
          </w:tcPr>
          <w:p>
            <w:pPr>
              <w:pStyle w:val="TableText"/>
            </w:pPr>
            <w:r>
              <w:t xml:space="preserve">1.0</w:t>
            </w:r>
          </w:p>
        </w:tc>
      </w:tr>
      <w:tr>
        <w:trPr>
          <w:cantSplit/>
        </w:trPr>
        <w:tc>
          <w:tcPr>
            <w:tcW w:w="2256" w:type="dxa"/>
          </w:tcPr>
          <w:p>
            <w:pPr>
              <w:pStyle w:val="TableText"/>
            </w:pPr>
            <w:r>
              <w:t xml:space="preserve">Date</w:t>
            </w:r>
          </w:p>
        </w:tc>
        <w:tc>
          <w:tcPr>
            <w:tcW w:w="6770" w:type="dxa"/>
          </w:tcPr>
          <w:p>
            <w:pPr>
              <w:pStyle w:val="TableText"/>
            </w:pPr>
            <w:r>
              <w:t xml:space="preserve">September 2026</w:t>
            </w:r>
          </w:p>
        </w:tc>
      </w:tr>
      <w:tr>
        <w:trPr>
          <w:cantSplit/>
        </w:trPr>
        <w:tc>
          <w:tcPr>
            <w:tcW w:w="2256" w:type="dxa"/>
          </w:tcPr>
          <w:p>
            <w:pPr>
              <w:pStyle w:val="TableText"/>
            </w:pPr>
            <w:r>
              <w:t xml:space="preserve">Status</w:t>
            </w:r>
          </w:p>
        </w:tc>
        <w:tc>
          <w:tcPr>
            <w:tcW w:w="6770" w:type="dxa"/>
          </w:tcPr>
          <w:p>
            <w:pPr>
              <w:pStyle w:val="TableText"/>
            </w:pPr>
            <w:r>
              <w:t xml:space="preserve">Official Institutional Release</w:t>
            </w:r>
          </w:p>
        </w:tc>
      </w:tr>
    </w:tbl>
    <w:p>
      <w:pPr>
        <w:pStyle w:val="TableSpacer"/>
      </w:pPr>
    </w:p>
    <w:p>
      <w:pPr>
        <w:pStyle w:val="CoverNote"/>
      </w:pPr>
      <w:r>
        <w:t xml:space="preserve">Standard responses. Account-specific versions are issued with the audit dossier.</w:t>
      </w:r>
    </w:p>
    <w:p>
      <w:pPr>
        <w:sectPr>
          <w:headerReference w:type="default" r:id="rIdHE"/>
          <w:footerReference w:type="default" r:id="rIdFE"/>
          <w:pgSz w:w="11906" w:h="16838"/>
          <w:pgMar w:top="1701" w:right="1440" w:bottom="1701" w:left="1440" w:header="709" w:footer="567" w:gutter="0"/>
        </w:sectPr>
      </w:pPr>
    </w:p>
    <w:tbl>
      <w:tblPr>
        <w:tblStyle w:val="SWForm"/>
        <w:tblW w:w="9026" w:type="dxa"/>
        <w:tblLayout w:type="fixed"/>
        <w:tblLook w:val="0420" w:firstRow="0" w:lastRow="0" w:firstColumn="1" w:lastColumn="0" w:noHBand="1" w:noVBand="1"/>
      </w:tblPr>
      <w:tblGrid>
        <w:gridCol w:w="2654"/>
        <w:gridCol w:w="6372"/>
      </w:tblGrid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Requested by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t xml:space="preserve">Standard release. The version for your account ships with the audit dossier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Completed by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t xml:space="preserve">Enzo Fonseca Soler, Sócio-Administrador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Date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t xml:space="preserve">September 2026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pStyle w:val="TableText"/>
            </w:pPr>
            <w:r>
              <w:t xml:space="preserve">Client track</w:t>
            </w:r>
          </w:p>
        </w:tc>
        <w:tc>
          <w:tcPr>
            <w:tcW w:w="6372" w:type="dxa"/>
          </w:tcPr>
          <w:p>
            <w:pPr>
              <w:pStyle w:val="TableText"/>
            </w:pPr>
            <w:r>
              <w:t xml:space="preserve">All client tracks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Organization and governance</w:t>
      </w:r>
    </w:p>
    <w:tbl>
      <w:tblPr>
        <w:tblStyle w:val="SWTable"/>
        <w:tblW w:w="9026" w:type="dxa"/>
        <w:tblLayout w:type="fixed"/>
        <w:tblLook w:val="0420" w:firstRow="1" w:lastRow="0" w:firstColumn="0" w:lastColumn="0" w:noHBand="1" w:noVBand="1"/>
      </w:tblPr>
      <w:tblGrid>
        <w:gridCol w:w="557"/>
        <w:gridCol w:w="3342"/>
        <w:gridCol w:w="3342"/>
        <w:gridCol w:w="1785"/>
      </w:tblGrid>
      <w:tr>
        <w:trPr>
          <w:cantSplit/>
          <w:tblHeader/>
        </w:trPr>
        <w:tc>
          <w:tcPr>
            <w:tcW w:w="55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785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1.1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Who is the contracting entity?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SolerWorks LTDA, a Brazilian limited liability company registered in São Paulo (CNPJ 60.678.861/0001-55). It signs the data processing agreement in its own name, as processor.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Governance page, solerworks.com/governance. Data processing agreement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1.2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Who is responsible for data protection?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A named privacy contact: Enzo Fonseca Soler, Sócio-Administrador, privacy@solerworks.com. No data protection officer is appointed. The privacy contact is named in each data processing agreement.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Data processing agreement. Governance page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1.3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Which legal framework covers work done from Brazil?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The GDPR and the Brazilian LGPD. Transfers rely on the European Commission's adequacy decision for Brazil, with the Standard Contractual Clauses incorporated as a fallback.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EU–Brazil adequacy framework, solerworks.com/adequacy-framework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Access control</w:t>
      </w:r>
    </w:p>
    <w:tbl>
      <w:tblPr>
        <w:tblStyle w:val="SWTable"/>
        <w:tblW w:w="9026" w:type="dxa"/>
        <w:tblLayout w:type="fixed"/>
        <w:tblLook w:val="0420" w:firstRow="1" w:lastRow="0" w:firstColumn="0" w:lastColumn="0" w:noHBand="1" w:noVBand="1"/>
      </w:tblPr>
      <w:tblGrid>
        <w:gridCol w:w="557"/>
        <w:gridCol w:w="3342"/>
        <w:gridCol w:w="3342"/>
        <w:gridCol w:w="1785"/>
      </w:tblGrid>
      <w:tr>
        <w:trPr>
          <w:cantSplit/>
          <w:tblHeader/>
        </w:trPr>
        <w:tc>
          <w:tcPr>
            <w:tcW w:w="55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785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2.1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How do engineers reach client systems?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Only through the virtual desktop, VPN or managed device the client designates, with credentials the client issues. SolerWorks holds no account or administrative right in the client environment.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Data processing agreement, security measures annex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2.2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Who issues and revokes credentials and enforces multi-factor authentication?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The client, under its own identity provider and policy. One credential set per named engineer. No shared logins or sessions. SolerWorks requests revocation the day a role ends.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Authorized personnel register. Deletion and deprovisioning certificate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2.3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Does the delivery partner have access?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No. The delivery partner holds no credentials in the client environment and receives no client personal data.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Data processing agreement. Sub-processor declaration, trust center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Devices and endpoints</w:t>
      </w:r>
    </w:p>
    <w:tbl>
      <w:tblPr>
        <w:tblStyle w:val="SWTable"/>
        <w:tblW w:w="9026" w:type="dxa"/>
        <w:tblLayout w:type="fixed"/>
        <w:tblLook w:val="0420" w:firstRow="1" w:lastRow="0" w:firstColumn="0" w:lastColumn="0" w:noHBand="1" w:noVBand="1"/>
      </w:tblPr>
      <w:tblGrid>
        <w:gridCol w:w="557"/>
        <w:gridCol w:w="3342"/>
        <w:gridCol w:w="3342"/>
        <w:gridCol w:w="1785"/>
      </w:tblGrid>
      <w:tr>
        <w:trPr>
          <w:cantSplit/>
          <w:tblHeader/>
        </w:trPr>
        <w:tc>
          <w:tcPr>
            <w:tcW w:w="55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785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3.1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Who provides the workspace?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The client provisions and manages it to its own standard: a corporate device, a virtual desktop or a secure VPN tenancy.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Data processing agreement, security measures annex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3.2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What baseline applies to the physical endpoint?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Before credentials are issued, each engineer attests to full-disk encryption, automatic screen lock, a supported and patched operating system, and endpoint protection. SolerWorks keeps the attestation.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Signed endpoint attestation. Engineer onboarding records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3.3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Does SolerWorks manage or monitor endpoints?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No. SolerWorks runs no device management or monitoring tooling. Monitoring inside the client environment stays with the client.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Data processing agreement, security measures annex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Data handling</w:t>
      </w:r>
    </w:p>
    <w:tbl>
      <w:tblPr>
        <w:tblStyle w:val="SWTable"/>
        <w:tblW w:w="9026" w:type="dxa"/>
        <w:tblLayout w:type="fixed"/>
        <w:tblLook w:val="0420" w:firstRow="1" w:lastRow="0" w:firstColumn="0" w:lastColumn="0" w:noHBand="1" w:noVBand="1"/>
      </w:tblPr>
      <w:tblGrid>
        <w:gridCol w:w="557"/>
        <w:gridCol w:w="3342"/>
        <w:gridCol w:w="3342"/>
        <w:gridCol w:w="1785"/>
      </w:tblGrid>
      <w:tr>
        <w:trPr>
          <w:cantSplit/>
          <w:tblHeader/>
        </w:trPr>
        <w:tc>
          <w:tcPr>
            <w:tcW w:w="55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785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4.1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Where is client personal data stored?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Only in the client's own environment. SolerWorks does not host, store, back up or transmit it.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Data processing agreement. Record of processing activities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4.2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Can engineers copy or export data?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No. Copying, downloading, exporting, printing, screenshots and forwarding are prohibited by each engineer's undertaking. No local copies, caches or databases are kept on devices in Brazil.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Engineer security and privacy undertaking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4.3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What happens when a role or an engagement ends?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SolerWorks runs a seven-step offboarding checklist. The client revokes access, and a signed certificate confirms that nothing was retained.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Deletion and deprovisioning certificate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Personnel</w:t>
      </w:r>
    </w:p>
    <w:tbl>
      <w:tblPr>
        <w:tblStyle w:val="SWTable"/>
        <w:tblW w:w="9026" w:type="dxa"/>
        <w:tblLayout w:type="fixed"/>
        <w:tblLook w:val="0420" w:firstRow="1" w:lastRow="0" w:firstColumn="0" w:lastColumn="0" w:noHBand="1" w:noVBand="1"/>
      </w:tblPr>
      <w:tblGrid>
        <w:gridCol w:w="557"/>
        <w:gridCol w:w="3342"/>
        <w:gridCol w:w="3342"/>
        <w:gridCol w:w="1785"/>
      </w:tblGrid>
      <w:tr>
        <w:trPr>
          <w:cantSplit/>
          <w:tblHeader/>
        </w:trPr>
        <w:tc>
          <w:tcPr>
            <w:tcW w:w="55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785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5.1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Who engages the engineers?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SolerWorks contracts each engineer in Brazil in its own name. They act on its instructions as persons authorised to process under Article 29 GDPR, and are not sub-processors.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Data processing agreement. Individual engineer agreements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5.2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What does each engineer sign before access?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A security and privacy undertaking covering confidentiality, the client-contained perimeter, immediate incident reporting, and return and deletion. It is signed before the client issues credentials.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Engineer security and privacy undertaking, English and Portuguese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5.3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How are engineers vetted and recorded?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SolerWorks verifies identity, right to work and professional background before assignment, and completes security and privacy onboarding before access. A live register records name, role, systems and access dates.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Authorized personnel register. Engineer onboarding records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Incident response</w:t>
      </w:r>
    </w:p>
    <w:tbl>
      <w:tblPr>
        <w:tblStyle w:val="SWTable"/>
        <w:tblW w:w="9026" w:type="dxa"/>
        <w:tblLayout w:type="fixed"/>
        <w:tblLook w:val="0420" w:firstRow="1" w:lastRow="0" w:firstColumn="0" w:lastColumn="0" w:noHBand="1" w:noVBand="1"/>
      </w:tblPr>
      <w:tblGrid>
        <w:gridCol w:w="557"/>
        <w:gridCol w:w="3342"/>
        <w:gridCol w:w="3342"/>
        <w:gridCol w:w="1785"/>
      </w:tblGrid>
      <w:tr>
        <w:trPr>
          <w:cantSplit/>
          <w:tblHeader/>
        </w:trPr>
        <w:tc>
          <w:tcPr>
            <w:tcW w:w="55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785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6.1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How is an incident reported internally?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Every engineer is bound to report any actual or suspected incident to SolerWorks immediately.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Engineer security and privacy undertaking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6.2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When is the client notified?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Without undue delay after SolerWorks becomes aware, on one structured form, with updates as the facts develop, so the client can meet its own 72-hour regulatory deadline.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Security incident notification form. Data processing agreement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6.3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Does SolerWorks detect incidents inside the client environment?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No. Detection and logging inside the environment rely on the client's own tooling. SolerWorks provides the reporting chain and the record.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Data processing agreement, security measures annex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Sub-processors</w:t>
      </w:r>
    </w:p>
    <w:tbl>
      <w:tblPr>
        <w:tblStyle w:val="SWTable"/>
        <w:tblW w:w="9026" w:type="dxa"/>
        <w:tblLayout w:type="fixed"/>
        <w:tblLook w:val="0420" w:firstRow="1" w:lastRow="0" w:firstColumn="0" w:lastColumn="0" w:noHBand="1" w:noVBand="1"/>
      </w:tblPr>
      <w:tblGrid>
        <w:gridCol w:w="557"/>
        <w:gridCol w:w="3342"/>
        <w:gridCol w:w="3342"/>
        <w:gridCol w:w="1785"/>
      </w:tblGrid>
      <w:tr>
        <w:trPr>
          <w:cantSplit/>
          <w:tblHeader/>
        </w:trPr>
        <w:tc>
          <w:tcPr>
            <w:tcW w:w="55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785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7.1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Which sub-processors are engaged?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None. SolerWorks uses no hosting, storage, analytics or AI provider for client personal data. Engineers are its own authorised personnel, not sub-processors.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Sub-processor declaration, trust center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7.2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What is the delivery partner's role?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A commercial contractor that directs the work. It is outside the processing chain.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Data processing agreement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7.3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How could this change?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Only with the client's prior written consent. Any sub-processor would carry the same obligations.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Data processing agreement</w:t>
            </w:r>
          </w:p>
        </w:tc>
      </w:tr>
    </w:tbl>
    <w:p>
      <w:pPr>
        <w:pStyle w:val="TableSpacer"/>
      </w:pPr>
    </w:p>
    <w:p>
      <w:pPr>
        <w:pStyle w:val="Heading2"/>
      </w:pPr>
      <w:r>
        <w:t xml:space="preserve">Business continuity</w:t>
      </w:r>
    </w:p>
    <w:tbl>
      <w:tblPr>
        <w:tblStyle w:val="SWTable"/>
        <w:tblW w:w="9026" w:type="dxa"/>
        <w:tblLayout w:type="fixed"/>
        <w:tblLook w:val="0420" w:firstRow="1" w:lastRow="0" w:firstColumn="0" w:lastColumn="0" w:noHBand="1" w:noVBand="1"/>
      </w:tblPr>
      <w:tblGrid>
        <w:gridCol w:w="557"/>
        <w:gridCol w:w="3342"/>
        <w:gridCol w:w="3342"/>
        <w:gridCol w:w="1785"/>
      </w:tblGrid>
      <w:tr>
        <w:trPr>
          <w:cantSplit/>
          <w:tblHeader/>
        </w:trPr>
        <w:tc>
          <w:tcPr>
            <w:tcW w:w="557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Question</w:t>
            </w:r>
          </w:p>
        </w:tc>
        <w:tc>
          <w:tcPr>
            <w:tcW w:w="3342" w:type="dxa"/>
          </w:tcPr>
          <w:p>
            <w:pPr>
              <w:pStyle w:val="TableHeading"/>
            </w:pPr>
            <w:r>
              <w:t xml:space="preserve">Answer</w:t>
            </w:r>
          </w:p>
        </w:tc>
        <w:tc>
          <w:tcPr>
            <w:tcW w:w="1785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8.1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What does delivery depend on?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The client's own environment. SolerWorks hosts no system in the delivery path, so its availability does not affect the uptime of client systems.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Data processing agreement, security measures annex</w:t>
            </w:r>
          </w:p>
        </w:tc>
      </w:tr>
      <w:tr>
        <w:trPr>
          <w:cantSplit/>
        </w:trPr>
        <w:tc>
          <w:tcPr>
            <w:tcW w:w="557" w:type="dxa"/>
          </w:tcPr>
          <w:p>
            <w:pPr>
              <w:pStyle w:val="TableText"/>
            </w:pPr>
            <w:r>
              <w:t xml:space="preserve">8.2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How does SolerWorks stay reachable?</w:t>
            </w:r>
          </w:p>
        </w:tc>
        <w:tc>
          <w:tcPr>
            <w:tcW w:w="3342" w:type="dxa"/>
          </w:tcPr>
          <w:p>
            <w:pPr>
              <w:pStyle w:val="TableText"/>
            </w:pPr>
            <w:r>
              <w:t xml:space="preserve">Separate mailboxes for privacy, legal and general contact: privacy@solerworks.com, legal@solerworks.com and contact@solerworks.com.</w:t>
            </w:r>
          </w:p>
        </w:tc>
        <w:tc>
          <w:tcPr>
            <w:tcW w:w="1785" w:type="dxa"/>
          </w:tcPr>
          <w:p>
            <w:pPr>
              <w:pStyle w:val="TableText"/>
            </w:pPr>
            <w:r>
              <w:t xml:space="preserve">Governance page, solerworks.com/governance</w:t>
            </w:r>
          </w:p>
        </w:tc>
      </w:tr>
    </w:tbl>
    <w:p>
      <w:pPr>
        <w:pStyle w:val="TableSpacer"/>
      </w:pPr>
    </w:p>
    <w:sectPr>
      <w:headerReference w:type="default" r:id="rIdH"/>
      <w:footerReference w:type="default" r:id="rIdF"/>
      <w:pgSz w:w="11906" w:h="16838"/>
      <w:pgMar w:top="1701" w:right="1440" w:bottom="1701" w:left="1440" w:header="709" w:footer="567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Geist">
    <w:altName w:val="Arial"/>
    <w:panose1 w:val="020B0604020202020204"/>
    <w:charset w:val="00"/>
    <w:family w:val="swiss"/>
    <w:pitch w:val="variable"/>
  </w:font>
  <w:font w:name="Geist Mono">
    <w:altName w:val="Courier New"/>
    <w:panose1 w:val="02070309020205020404"/>
    <w:charset w:val="00"/>
    <w:family w:val="modern"/>
    <w:pitch w:val="fixed"/>
  </w:font>
  <w:font w:name="Arial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tabs>
        <w:tab w:val="clear" w:pos="9026"/>
        <w:tab w:val="right" w:pos="9026"/>
      </w:tabs>
    </w:pPr>
    <w:r>
      <w:t xml:space="preserve">SOLERWORKS LTDA  ·  CNPJ 60.678.861/0001-55  ·  São Paulo, SP — Brazil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tabs>
        <w:tab w:val="clear" w:pos="9026"/>
        <w:tab w:val="right" w:pos="9026"/>
      </w:tabs>
    </w:pPr>
    <w:r>
      <w:drawing>
        <wp:inline distT="0" distB="0" distL="0" distR="0">
          <wp:extent cx="954405" cy="182880"/>
          <wp:docPr id="20" name="SolerWorks" descr="SolerWorks"/>
          <a:graphic>
            <a:graphicData uri="http://schemas.openxmlformats.org/drawingml/2006/picture">
              <pic:pic>
                <pic:nvPicPr>
                  <pic:cNvPr id="20" name="solerwork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4405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STYLEREF  Title </w:instrText>
    </w:r>
    <w:r>
      <w:fldChar w:fldCharType="separate"/>
    </w:r>
    <w:r>
      <w:t/>
    </w:r>
    <w:r>
      <w:fldChar w:fldCharType="end"/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1">
    <w:multiLevelType w:val="multilevel"/>
    <w:name w:val="SolerWorks Clauses"/>
    <w:lvl w:ilvl="0">
      <w:start w:val="1"/>
      <w:numFmt w:val="decimal"/>
      <w:pStyle w:val="Claus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Claus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Clause3"/>
      <w:lvlText w:val="%1.%2.%3"/>
      <w:lvlJc w:val="left"/>
      <w:pPr>
        <w:tabs>
          <w:tab w:val="num" w:pos="1559"/>
        </w:tabs>
        <w:ind w:left="1559" w:hanging="850"/>
      </w:pPr>
    </w:lvl>
    <w:lvl w:ilvl="3">
      <w:start w:val="1"/>
      <w:numFmt w:val="lowerLetter"/>
      <w:pStyle w:val="Clause4"/>
      <w:lvlText w:val="(%4)"/>
      <w:lvlJc w:val="left"/>
      <w:pPr>
        <w:tabs>
          <w:tab w:val="num" w:pos="2126"/>
        </w:tabs>
        <w:ind w:left="2126" w:hanging="567"/>
      </w:pPr>
    </w:lvl>
  </w:abstractNum>
  <w:abstractNum w:abstractNumId="2">
    <w:multiLevelType w:val="hybridMultilevel"/>
    <w:lvl w:ilvl="0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</w:lvl>
  </w:abstractNum>
  <w:abstractNum w:abstractNumId="3">
    <w:multiLevelType w:val="multilevel"/>
    <w:name w:val="SolerWorks Schedules"/>
    <w:lvl w:ilvl="0">
      <w:start w:val="1"/>
      <w:numFmt w:val="decimal"/>
      <w:pStyle w:val="ScheduleHeading"/>
      <w:suff w:val="space"/>
      <w:lvlText w:val="Schedule %1: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en-US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Geist" w:hAnsi="Geist" w:cs="Geist" w:eastAsia="Geist"/>
        <w:color w:val="0F172A"/>
        <w:sz w:val="20"/>
        <w:szCs w:val="20"/>
        <w:lang w:val="en-US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BodyText">
    <w:name w:val="Body Text"/>
    <w:basedOn w:val="Normal"/>
    <w:qFormat/>
    <w:pPr>
      <w:spacing w:after="140"/>
    </w:pPr>
  </w:style>
  <w:style w:type="paragraph" w:styleId="Title">
    <w:name w:val="Title"/>
    <w:basedOn w:val="Normal"/>
    <w:next w:val="Subtitle"/>
    <w:qFormat/>
    <w:pPr>
      <w:spacing w:before="1200" w:after="160" w:line="240" w:lineRule="auto"/>
      <w:contextualSpacing/>
    </w:pPr>
    <w:rPr>
      <w:rFonts w:ascii="Geist" w:hAnsi="Geist" w:cs="Geist" w:eastAsia="Geist"/>
      <w:b/>
      <w:bCs/>
      <w:color w:val="0F172A"/>
      <w:spacing w:val="-10"/>
      <w:sz w:val="56"/>
      <w:szCs w:val="56"/>
    </w:rPr>
  </w:style>
  <w:style w:type="paragraph" w:styleId="Subtitle">
    <w:name w:val="Subtitle"/>
    <w:basedOn w:val="Normal"/>
    <w:next w:val="BodyText"/>
    <w:qFormat/>
    <w:pPr>
      <w:spacing w:after="480"/>
    </w:pPr>
    <w:rPr>
      <w:rFonts w:ascii="Geist" w:hAnsi="Geist" w:cs="Geist" w:eastAsia="Geist"/>
      <w:color w:val="64748B"/>
      <w:sz w:val="26"/>
      <w:szCs w:val="26"/>
    </w:rPr>
  </w:style>
  <w:style w:type="paragraph" w:styleId="Heading1">
    <w:name w:val="heading 1"/>
    <w:basedOn w:val="Normal"/>
    <w:next w:val="BodyText"/>
    <w:qFormat/>
    <w:pPr>
      <w:keepNext/>
      <w:keepLines/>
      <w:spacing w:before="480" w:after="160" w:line="259" w:lineRule="auto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360" w:after="120" w:line="259" w:lineRule="auto"/>
      <w:outlineLvl w:val="1"/>
    </w:pPr>
    <w:rPr>
      <w:rFonts w:ascii="Geist" w:hAnsi="Geist" w:cs="Geist" w:eastAsia="Geist"/>
      <w:b/>
      <w:bCs/>
      <w:color w:val="0F172A"/>
      <w:sz w:val="24"/>
      <w:szCs w:val="24"/>
    </w:rPr>
  </w:style>
  <w:style w:type="paragraph" w:styleId="Heading3">
    <w:name w:val="heading 3"/>
    <w:basedOn w:val="Normal"/>
    <w:next w:val="BodyText"/>
    <w:qFormat/>
    <w:pPr>
      <w:keepNext/>
      <w:keepLines/>
      <w:spacing w:before="280" w:after="100" w:line="259" w:lineRule="auto"/>
      <w:outlineLvl w:val="2"/>
    </w:pPr>
    <w:rPr>
      <w:rFonts w:ascii="Geist" w:hAnsi="Geist" w:cs="Geist" w:eastAsia="Geist"/>
      <w:b/>
      <w:bCs/>
      <w:color w:val="64748B"/>
      <w:sz w:val="20"/>
      <w:szCs w:val="20"/>
    </w:rPr>
  </w:style>
  <w:style w:type="paragraph" w:styleId="Clause1">
    <w:name w:val="Clause 1"/>
    <w:basedOn w:val="Normal"/>
    <w:next w:val="Clause2"/>
    <w:qFormat/>
    <w:pPr>
      <w:keepNext/>
      <w:keepLines/>
      <w:numPr>
        <w:ilvl w:val="0"/>
        <w:numId w:val="1"/>
      </w:numPr>
      <w:spacing w:before="400" w:after="140"/>
      <w:outlineLvl w:val="0"/>
    </w:pPr>
    <w:rPr>
      <w:rFonts w:ascii="Geist" w:hAnsi="Geist" w:cs="Geist" w:eastAsia="Geist"/>
      <w:b/>
      <w:bCs/>
      <w:caps/>
      <w:color w:val="0F172A"/>
      <w:spacing w:val="10"/>
      <w:sz w:val="22"/>
      <w:szCs w:val="22"/>
    </w:rPr>
  </w:style>
  <w:style w:type="paragraph" w:styleId="Clause2">
    <w:name w:val="Clause 2"/>
    <w:basedOn w:val="Normal"/>
    <w:qFormat/>
    <w:pPr>
      <w:numPr>
        <w:ilvl w:val="1"/>
        <w:numId w:val="1"/>
      </w:numPr>
      <w:spacing w:after="140"/>
      <w:jc w:val="both"/>
    </w:pPr>
  </w:style>
  <w:style w:type="paragraph" w:styleId="Clause3">
    <w:name w:val="Clause 3"/>
    <w:basedOn w:val="Normal"/>
    <w:qFormat/>
    <w:pPr>
      <w:numPr>
        <w:ilvl w:val="2"/>
        <w:numId w:val="1"/>
      </w:numPr>
      <w:spacing w:after="140"/>
      <w:jc w:val="both"/>
    </w:pPr>
  </w:style>
  <w:style w:type="paragraph" w:styleId="Clause4">
    <w:name w:val="Clause 4"/>
    <w:basedOn w:val="Normal"/>
    <w:qFormat/>
    <w:pPr>
      <w:numPr>
        <w:ilvl w:val="3"/>
        <w:numId w:val="1"/>
      </w:numPr>
      <w:spacing w:after="140"/>
      <w:jc w:val="both"/>
    </w:pPr>
  </w:style>
  <w:style w:type="paragraph" w:styleId="ScheduleHeading">
    <w:name w:val="Schedule Heading"/>
    <w:basedOn w:val="Normal"/>
    <w:next w:val="BodyText"/>
    <w:qFormat/>
    <w:pPr>
      <w:keepNext/>
      <w:pageBreakBefore/>
      <w:numPr>
        <w:ilvl w:val="0"/>
        <w:numId w:val="3"/>
      </w:numPr>
      <w:spacing w:before="0" w:after="240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ListBullet">
    <w:name w:val="List Bullet"/>
    <w:basedOn w:val="BodyText"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BodyText"/>
    <w:qFormat/>
    <w:pPr>
      <w:keepNext/>
      <w:spacing w:before="240" w:after="80"/>
    </w:pPr>
    <w:rPr>
      <w:rFonts w:ascii="Geist" w:hAnsi="Geist" w:cs="Geist" w:eastAsia="Geist"/>
      <w:b/>
      <w:bCs/>
      <w:caps/>
      <w:color w:val="64748B"/>
      <w:spacing w:val="12"/>
      <w:sz w:val="17"/>
      <w:szCs w:val="17"/>
    </w:rPr>
  </w:style>
  <w:style w:type="paragraph" w:styleId="Note">
    <w:name w:val="Note"/>
    <w:basedOn w:val="BodyText"/>
    <w:qFormat/>
    <w:pPr/>
    <w:rPr>
      <w:rFonts w:ascii="Geist" w:hAnsi="Geist" w:cs="Geist" w:eastAsia="Geist"/>
      <w:color w:val="64748B"/>
      <w:sz w:val="17"/>
      <w:szCs w:val="17"/>
    </w:rPr>
  </w:style>
  <w:style w:type="paragraph" w:styleId="AddressBlock">
    <w:name w:val="Address Block"/>
    <w:basedOn w:val="BodyText"/>
    <w:qFormat/>
    <w:pPr>
      <w:spacing w:after="0"/>
      <w:contextualSpacing/>
    </w:pPr>
  </w:style>
  <w:style w:type="paragraph" w:styleId="TableText">
    <w:name w:val="Table Text"/>
    <w:basedOn w:val="Normal"/>
    <w:qFormat/>
    <w:pPr>
      <w:spacing w:before="60" w:after="60" w:line="259" w:lineRule="auto"/>
    </w:pPr>
    <w:rPr>
      <w:rFonts w:ascii="Geist" w:hAnsi="Geist" w:cs="Geist" w:eastAsia="Geist"/>
      <w:sz w:val="18"/>
      <w:szCs w:val="18"/>
    </w:rPr>
  </w:style>
  <w:style w:type="paragraph" w:styleId="TableHeading">
    <w:name w:val="Table Heading"/>
    <w:basedOn w:val="TableText"/>
    <w:qFormat/>
    <w:pPr>
      <w:keepNext/>
    </w:pPr>
    <w:rPr>
      <w:rFonts w:ascii="Geist" w:hAnsi="Geist" w:cs="Geist" w:eastAsia="Geist"/>
      <w:b/>
      <w:bCs/>
      <w:caps/>
      <w:color w:val="64748B"/>
      <w:spacing w:val="10"/>
      <w:sz w:val="16"/>
      <w:szCs w:val="16"/>
    </w:rPr>
  </w:style>
  <w:style w:type="paragraph" w:styleId="TableSpacer">
    <w:name w:val="Table Spacer"/>
    <w:basedOn w:val="Normal"/>
    <w:pPr>
      <w:spacing w:after="120" w:line="240" w:lineRule="auto"/>
    </w:pPr>
    <w:rPr>
      <w:sz w:val="8"/>
      <w:szCs w:val="8"/>
    </w:rPr>
  </w:style>
  <w:style w:type="paragraph" w:styleId="CoverLogo">
    <w:name w:val="Cover Logo"/>
    <w:basedOn w:val="Normal"/>
    <w:pPr>
      <w:spacing w:before="0" w:after="0"/>
    </w:pPr>
  </w:style>
  <w:style w:type="paragraph" w:styleId="CoverNote">
    <w:name w:val="Cover Note"/>
    <w:basedOn w:val="Normal"/>
    <w:pPr>
      <w:spacing w:before="480"/>
    </w:pPr>
    <w:rPr>
      <w:rFonts w:ascii="Geist" w:hAnsi="Geist" w:cs="Geist" w:eastAsia="Geist"/>
      <w:color w:val="64748B"/>
      <w:sz w:val="17"/>
      <w:szCs w:val="17"/>
    </w:rPr>
  </w:style>
  <w:style w:type="paragraph" w:styleId="SignatureLabel">
    <w:name w:val="Signature Label"/>
    <w:basedOn w:val="Normal"/>
    <w:qFormat/>
    <w:pPr>
      <w:spacing w:before="40" w:after="0"/>
    </w:pPr>
    <w:rPr>
      <w:rFonts w:ascii="Geist" w:hAnsi="Geist" w:cs="Geist" w:eastAsia="Geist"/>
      <w:color w:val="64748B"/>
      <w:sz w:val="17"/>
      <w:szCs w:val="17"/>
    </w:rPr>
  </w:style>
  <w:style w:type="paragraph" w:styleId="SignatureParty">
    <w:name w:val="Signature Party"/>
    <w:basedOn w:val="Normal"/>
    <w:next w:val="SignatureLine"/>
    <w:qFormat/>
    <w:pPr>
      <w:keepNext/>
      <w:spacing w:after="0"/>
    </w:pPr>
    <w:rPr>
      <w:rFonts w:ascii="Geist" w:hAnsi="Geist" w:cs="Geist" w:eastAsia="Geist"/>
      <w:b/>
      <w:bCs/>
      <w:sz w:val="20"/>
      <w:szCs w:val="20"/>
    </w:rPr>
  </w:style>
  <w:style w:type="paragraph" w:styleId="SignatureLine">
    <w:name w:val="Signature Line"/>
    <w:basedOn w:val="Normal"/>
    <w:next w:val="SignatureLabel"/>
    <w:qFormat/>
    <w:pPr>
      <w:keepNext/>
      <w:pBdr>
        <w:bottom w:val="single" w:sz="6" w:space="1" w:color="0F172A"/>
      </w:pBdr>
      <w:spacing w:before="480" w:after="0"/>
    </w:pPr>
  </w:style>
  <w:style w:type="paragraph" w:styleId="TOCHeading">
    <w:name w:val="TOC Heading"/>
    <w:basedOn w:val="Normal"/>
    <w:next w:val="BodyText"/>
    <w:qFormat/>
    <w:pPr>
      <w:spacing w:before="0" w:after="32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TOC1">
    <w:name w:val="toc 1"/>
    <w:basedOn w:val="Normal"/>
    <w:uiPriority w:val="39"/>
    <w:pPr>
      <w:tabs>
        <w:tab w:val="right" w:leader="dot" w:pos="9000"/>
      </w:tabs>
      <w:spacing w:after="100"/>
      <w:ind w:left="0"/>
    </w:pPr>
    <w:rPr>
      <w:rFonts w:ascii="Geist" w:hAnsi="Geist" w:cs="Geist" w:eastAsia="Geist"/>
      <w:b/>
      <w:bCs/>
      <w:sz w:val="20"/>
      <w:szCs w:val="20"/>
    </w:rPr>
  </w:style>
  <w:style w:type="paragraph" w:styleId="TOC2">
    <w:name w:val="toc 2"/>
    <w:basedOn w:val="Normal"/>
    <w:uiPriority w:val="39"/>
    <w:pPr>
      <w:tabs>
        <w:tab w:val="right" w:leader="dot" w:pos="9000"/>
      </w:tabs>
      <w:spacing w:after="100"/>
      <w:ind w:left="284"/>
    </w:pPr>
    <w:rPr>
      <w:rFonts w:ascii="Geist" w:hAnsi="Geist" w:cs="Geist" w:eastAsia="Geist"/>
      <w:sz w:val="20"/>
      <w:szCs w:val="20"/>
    </w:rPr>
  </w:style>
  <w:style w:type="paragraph" w:styleId="TOC3">
    <w:name w:val="toc 3"/>
    <w:basedOn w:val="Normal"/>
    <w:uiPriority w:val="39"/>
    <w:pPr>
      <w:tabs>
        <w:tab w:val="right" w:leader="dot" w:pos="9000"/>
      </w:tabs>
      <w:spacing w:after="100"/>
      <w:ind w:left="567"/>
    </w:pPr>
    <w:rPr>
      <w:rFonts w:ascii="Geist" w:hAnsi="Geist" w:cs="Geist" w:eastAsia="Geist"/>
      <w:sz w:val="20"/>
      <w:szCs w:val="20"/>
    </w:rPr>
  </w:style>
  <w:style w:type="paragraph" w:styleId="Header">
    <w:name w:val="header"/>
    <w:basedOn w:val="Normal"/>
    <w:uiPriority w:val="99"/>
    <w:pPr>
      <w:tabs>
        <w:tab w:val="right" w:pos="9026"/>
      </w:tabs>
      <w:spacing w:after="0"/>
    </w:pPr>
    <w:rPr>
      <w:rFonts w:ascii="Geist" w:hAnsi="Geist" w:cs="Geist" w:eastAsia="Geist"/>
      <w:color w:val="64748B"/>
      <w:sz w:val="16"/>
      <w:szCs w:val="16"/>
    </w:rPr>
  </w:style>
  <w:style w:type="paragraph" w:styleId="Footer">
    <w:name w:val="footer"/>
    <w:basedOn w:val="Normal"/>
    <w:uiPriority w:val="99"/>
    <w:pPr>
      <w:pBdr>
        <w:top w:val="single" w:sz="4" w:space="6" w:color="E2E8F0"/>
      </w:pBdr>
      <w:tabs>
        <w:tab w:val="right" w:pos="9026"/>
      </w:tabs>
      <w:spacing w:after="0" w:line="240" w:lineRule="auto"/>
    </w:pPr>
    <w:rPr>
      <w:rFonts w:ascii="Geist" w:hAnsi="Geist" w:cs="Geist" w:eastAsia="Geist"/>
      <w:color w:val="64748B"/>
      <w:sz w:val="15"/>
      <w:szCs w:val="15"/>
    </w:rPr>
  </w:style>
  <w:style w:type="character" w:styleId="Placeholder">
    <w:name w:val="Placeholder"/>
    <w:qFormat/>
    <w:rPr>
      <w:color w:val="1D4ED8"/>
      <w:shd w:val="clear" w:color="auto" w:fill="DBEAFE"/>
    </w:rPr>
  </w:style>
  <w:style w:type="character" w:styleId="Reference">
    <w:name w:val="Reference"/>
    <w:qFormat/>
    <w:rPr>
      <w:rFonts w:ascii="Geist Mono" w:hAnsi="Geist Mono" w:cs="Geist Mono" w:eastAsia="Geist Mono"/>
      <w:sz w:val="18"/>
      <w:szCs w:val="18"/>
    </w:rPr>
  </w:style>
  <w:style w:type="table" w:styleId="SWTable">
    <w:name w:val="SolerWorks Table"/>
    <w:basedOn w:val="TableNormal"/>
    <w:qFormat/>
    <w:tblPr>
      <w:tblBorders>
        <w:top w:val="single" w:sz="6" w:space="0" w:color="64748B"/>
        <w:bottom w:val="single" w:sz="6" w:space="0" w:color="64748B"/>
        <w:insideH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tcPr>
        <w:tcBorders>
          <w:bottom w:val="single" w:sz="6" w:space="0" w:color="64748B"/>
        </w:tcBorders>
        <w:shd w:val="clear" w:color="auto" w:fill="F1F5F9"/>
      </w:tcPr>
    </w:tblStylePr>
  </w:style>
  <w:style w:type="table" w:styleId="SWForm">
    <w:name w:val="SolerWorks Form"/>
    <w:basedOn w:val="TableNormal"/>
    <w:qFormat/>
    <w:tblPr>
      <w:tblBorders>
        <w:top w:val="single" w:sz="4" w:space="0" w:color="E2E8F0"/>
        <w:left w:val="single" w:sz="4" w:space="0" w:color="E2E8F0"/>
        <w:bottom w:val="single" w:sz="4" w:space="0" w:color="E2E8F0"/>
        <w:right w:val="single" w:sz="4" w:space="0" w:color="E2E8F0"/>
        <w:insideH w:val="single" w:sz="4" w:space="0" w:color="E2E8F0"/>
        <w:insideV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Col">
      <w:rPr>
        <w:b/>
        <w:color w:val="64748B"/>
      </w:rPr>
      <w:tcPr>
        <w:shd w:val="clear" w:color="auto" w:fill="F1F5F9"/>
      </w:tcPr>
    </w:tblStylePr>
  </w:style>
  <w:style w:type="table" w:styleId="SWSignature">
    <w:name w:val="SolerWorks Signature"/>
    <w:basedOn w:val="TableNormal"/>
    <w:qFormat/>
    <w:tblPr>
      <w:tblCellMar>
        <w:top w:w="0" w:type="dxa"/>
        <w:left w:w="0" w:type="dxa"/>
        <w:bottom w:w="0" w:type="dxa"/>
        <w:right w:w="36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numbering" Target="numbering.xml"/><Relationship Id="rIdSet" Type="http://schemas.openxmlformats.org/officeDocument/2006/relationships/settings" Target="settings.xml"/><Relationship Id="rIdFt" Type="http://schemas.openxmlformats.org/officeDocument/2006/relationships/fontTable" Target="fontTable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HE" Type="http://schemas.openxmlformats.org/officeDocument/2006/relationships/header" Target="header2.xml"/><Relationship Id="rIdFE" Type="http://schemas.openxmlformats.org/officeDocument/2006/relationships/footer" Target="footer2.xml"/><Relationship Id="rIdLogo" Type="http://schemas.openxmlformats.org/officeDocument/2006/relationships/image" Target="media/solerworks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solerworks.png"/></Relationships>
</file>

<file path=docProps/app.xml><?xml version="1.0" encoding="utf-8"?>
<Properties xmlns="http://schemas.openxmlformats.org/officeDocument/2006/extended-properties">
  <Application>Microsoft Office Word</Application>
  <Company>SolerWorks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Security Questionnaire</dc:title>
  <dc:creator>SolerWorks</dc:creator>
  <dcterms:created xsi:type="dcterms:W3CDTF">2026-09-20T00:03:30Z</dcterms:created>
</cp:coreProperties>
</file>