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CoverLogo"/>
      </w:pPr>
      <w:r>
        <w:drawing>
          <wp:inline distT="0" distB="0" distL="0" distR="0">
            <wp:extent cx="2004250" cy="384048"/>
            <wp:docPr id="10" name="SolerWorks" descr="SolerWorks"/>
            <a:graphic>
              <a:graphicData uri="http://schemas.openxmlformats.org/drawingml/2006/picture">
                <pic:pic>
                  <pic:nvPicPr>
                    <pic:cNvPr id="10" name="solerworks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20042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 xml:space="preserve">Security Questionnaire</w:t>
      </w:r>
    </w:p>
    <w:p>
      <w:pPr>
        <w:pStyle w:val="Subtitle"/>
      </w:pPr>
      <w:r>
        <w:t xml:space="preserve">Responses from SolerWorks</w:t>
      </w:r>
    </w:p>
    <w:tbl>
      <w:tblPr>
        <w:tblStyle w:val="SWForm"/>
        <w:tblW w:w="9360" w:type="dxa"/>
        <w:tblLayout w:type="fixed"/>
        <w:tblLook w:val="0420" w:firstRow="0" w:lastRow="0" w:firstColumn="1" w:lastColumn="0" w:noHBand="1" w:noVBand="1"/>
      </w:tblPr>
      <w:tblGrid>
        <w:gridCol w:w="2340"/>
        <w:gridCol w:w="7020"/>
      </w:tblGrid>
      <w:tr>
        <w:trPr>
          <w:cantSplit/>
        </w:trPr>
        <w:tc>
          <w:tcPr>
            <w:tcW w:w="2340" w:type="dxa"/>
          </w:tcPr>
          <w:p>
            <w:pPr>
              <w:pStyle w:val="TableText"/>
            </w:pPr>
            <w:r>
              <w:t xml:space="preserve">Parties</w:t>
            </w:r>
          </w:p>
        </w:tc>
        <w:tc>
          <w:tcPr>
            <w:tcW w:w="7020" w:type="dxa"/>
          </w:tcPr>
          <w:p>
            <w:pPr>
              <w:pStyle w:val="TableText"/>
            </w:pPr>
            <w:r>
              <w:t xml:space="preserve">The reviewing enterprise</w:t>
            </w:r>
            <w:r>
              <w:t xml:space="preserve"> and SolerWorks LTDA</w:t>
            </w:r>
          </w:p>
        </w:tc>
      </w:tr>
      <w:tr>
        <w:trPr>
          <w:cantSplit/>
        </w:trPr>
        <w:tc>
          <w:tcPr>
            <w:tcW w:w="2340" w:type="dxa"/>
          </w:tcPr>
          <w:p>
            <w:pPr>
              <w:pStyle w:val="TableText"/>
            </w:pPr>
            <w:r>
              <w:t xml:space="preserve">Reference</w:t>
            </w:r>
          </w:p>
        </w:tc>
        <w:tc>
          <w:tcPr>
            <w:tcW w:w="7020" w:type="dxa"/>
          </w:tcPr>
          <w:p>
            <w:pPr>
              <w:pStyle w:val="TableText"/>
            </w:pPr>
            <w:r>
              <w:t xml:space="preserve">SQ-2026-STANDARD</w:t>
            </w:r>
          </w:p>
        </w:tc>
      </w:tr>
      <w:tr>
        <w:trPr>
          <w:cantSplit/>
        </w:trPr>
        <w:tc>
          <w:tcPr>
            <w:tcW w:w="2340" w:type="dxa"/>
          </w:tcPr>
          <w:p>
            <w:pPr>
              <w:pStyle w:val="TableText"/>
            </w:pPr>
            <w:r>
              <w:t xml:space="preserve">Version</w:t>
            </w:r>
          </w:p>
        </w:tc>
        <w:tc>
          <w:tcPr>
            <w:tcW w:w="7020" w:type="dxa"/>
          </w:tcPr>
          <w:p>
            <w:pPr>
              <w:pStyle w:val="TableText"/>
            </w:pPr>
            <w:r>
              <w:t xml:space="preserve">1.0</w:t>
            </w:r>
          </w:p>
        </w:tc>
      </w:tr>
      <w:tr>
        <w:trPr>
          <w:cantSplit/>
        </w:trPr>
        <w:tc>
          <w:tcPr>
            <w:tcW w:w="2340" w:type="dxa"/>
          </w:tcPr>
          <w:p>
            <w:pPr>
              <w:pStyle w:val="TableText"/>
            </w:pPr>
            <w:r>
              <w:t xml:space="preserve">Date</w:t>
            </w:r>
          </w:p>
        </w:tc>
        <w:tc>
          <w:tcPr>
            <w:tcW w:w="7020" w:type="dxa"/>
          </w:tcPr>
          <w:p>
            <w:pPr>
              <w:pStyle w:val="TableText"/>
            </w:pPr>
            <w:r>
              <w:t xml:space="preserve">September 2026</w:t>
            </w:r>
          </w:p>
        </w:tc>
      </w:tr>
      <w:tr>
        <w:trPr>
          <w:cantSplit/>
        </w:trPr>
        <w:tc>
          <w:tcPr>
            <w:tcW w:w="2340" w:type="dxa"/>
          </w:tcPr>
          <w:p>
            <w:pPr>
              <w:pStyle w:val="TableText"/>
            </w:pPr>
            <w:r>
              <w:t xml:space="preserve">Status</w:t>
            </w:r>
          </w:p>
        </w:tc>
        <w:tc>
          <w:tcPr>
            <w:tcW w:w="7020" w:type="dxa"/>
          </w:tcPr>
          <w:p>
            <w:pPr>
              <w:pStyle w:val="TableText"/>
            </w:pPr>
            <w:r>
              <w:t xml:space="preserve">Official Institutional Release</w:t>
            </w:r>
          </w:p>
        </w:tc>
      </w:tr>
    </w:tbl>
    <w:p>
      <w:pPr>
        <w:pStyle w:val="TableSpacer"/>
      </w:pPr>
    </w:p>
    <w:p>
      <w:pPr>
        <w:pStyle w:val="CoverNote"/>
      </w:pPr>
      <w:r>
        <w:t xml:space="preserve">Standard responses. Account-specific versions are issued with the audit dossier.</w:t>
      </w:r>
    </w:p>
    <w:p>
      <w:pPr>
        <w:sectPr>
          <w:headerReference w:type="default" r:id="rIdHE"/>
          <w:footerReference w:type="default" r:id="rIdFE"/>
          <w:pgSz w:w="12240" w:h="15840"/>
          <w:pgMar w:top="1701" w:right="1440" w:bottom="1701" w:left="1440" w:header="709" w:footer="567" w:gutter="0"/>
        </w:sectPr>
      </w:pPr>
    </w:p>
    <w:tbl>
      <w:tblPr>
        <w:tblStyle w:val="SWForm"/>
        <w:tblW w:w="9360" w:type="dxa"/>
        <w:tblLayout w:type="fixed"/>
        <w:tblLook w:val="0420" w:firstRow="0" w:lastRow="0" w:firstColumn="1" w:lastColumn="0" w:noHBand="1" w:noVBand="1"/>
      </w:tblPr>
      <w:tblGrid>
        <w:gridCol w:w="2752"/>
        <w:gridCol w:w="6608"/>
      </w:tblGrid>
      <w:tr>
        <w:trPr>
          <w:cantSplit/>
        </w:trPr>
        <w:tc>
          <w:tcPr>
            <w:tcW w:w="2752" w:type="dxa"/>
          </w:tcPr>
          <w:p>
            <w:pPr>
              <w:pStyle w:val="TableText"/>
            </w:pPr>
            <w:r>
              <w:t xml:space="preserve">Requested by</w:t>
            </w:r>
          </w:p>
        </w:tc>
        <w:tc>
          <w:tcPr>
            <w:tcW w:w="6608" w:type="dxa"/>
          </w:tcPr>
          <w:p>
            <w:pPr>
              <w:pStyle w:val="TableText"/>
            </w:pPr>
            <w:r>
              <w:t xml:space="preserve">Standard release. The version for your account ships with the audit dossier</w:t>
            </w:r>
          </w:p>
        </w:tc>
      </w:tr>
      <w:tr>
        <w:trPr>
          <w:cantSplit/>
        </w:trPr>
        <w:tc>
          <w:tcPr>
            <w:tcW w:w="2752" w:type="dxa"/>
          </w:tcPr>
          <w:p>
            <w:pPr>
              <w:pStyle w:val="TableText"/>
            </w:pPr>
            <w:r>
              <w:t xml:space="preserve">Completed by</w:t>
            </w:r>
          </w:p>
        </w:tc>
        <w:tc>
          <w:tcPr>
            <w:tcW w:w="6608" w:type="dxa"/>
          </w:tcPr>
          <w:p>
            <w:pPr>
              <w:pStyle w:val="TableText"/>
            </w:pPr>
            <w:r>
              <w:t xml:space="preserve">Enzo Fonseca Soler, Sócio-Administrador</w:t>
            </w:r>
          </w:p>
        </w:tc>
      </w:tr>
      <w:tr>
        <w:trPr>
          <w:cantSplit/>
        </w:trPr>
        <w:tc>
          <w:tcPr>
            <w:tcW w:w="2752" w:type="dxa"/>
          </w:tcPr>
          <w:p>
            <w:pPr>
              <w:pStyle w:val="TableText"/>
            </w:pPr>
            <w:r>
              <w:t xml:space="preserve">Date</w:t>
            </w:r>
          </w:p>
        </w:tc>
        <w:tc>
          <w:tcPr>
            <w:tcW w:w="6608" w:type="dxa"/>
          </w:tcPr>
          <w:p>
            <w:pPr>
              <w:pStyle w:val="TableText"/>
            </w:pPr>
            <w:r>
              <w:t xml:space="preserve">September 2026</w:t>
            </w:r>
          </w:p>
        </w:tc>
      </w:tr>
      <w:tr>
        <w:trPr>
          <w:cantSplit/>
        </w:trPr>
        <w:tc>
          <w:tcPr>
            <w:tcW w:w="2752" w:type="dxa"/>
          </w:tcPr>
          <w:p>
            <w:pPr>
              <w:pStyle w:val="TableText"/>
            </w:pPr>
            <w:r>
              <w:t xml:space="preserve">Client track</w:t>
            </w:r>
          </w:p>
        </w:tc>
        <w:tc>
          <w:tcPr>
            <w:tcW w:w="6608" w:type="dxa"/>
          </w:tcPr>
          <w:p>
            <w:pPr>
              <w:pStyle w:val="TableText"/>
            </w:pPr>
            <w:r>
              <w:t xml:space="preserve">All client tracks</w:t>
            </w:r>
          </w:p>
        </w:tc>
      </w:tr>
    </w:tbl>
    <w:p>
      <w:pPr>
        <w:pStyle w:val="TableSpacer"/>
      </w:pPr>
    </w:p>
    <w:p>
      <w:pPr>
        <w:pStyle w:val="Heading2"/>
      </w:pPr>
      <w:r>
        <w:t xml:space="preserve">Organization and governance</w:t>
      </w:r>
    </w:p>
    <w:tbl>
      <w:tblPr>
        <w:tblStyle w:val="SWTable"/>
        <w:tblW w:w="9360" w:type="dxa"/>
        <w:tblLayout w:type="fixed"/>
        <w:tblLook w:val="0420" w:firstRow="1" w:lastRow="0" w:firstColumn="0" w:lastColumn="0" w:noHBand="1" w:noVBand="1"/>
      </w:tblPr>
      <w:tblGrid>
        <w:gridCol w:w="577"/>
        <w:gridCol w:w="3466"/>
        <w:gridCol w:w="3466"/>
        <w:gridCol w:w="1851"/>
      </w:tblGrid>
      <w:tr>
        <w:trPr>
          <w:cantSplit/>
          <w:tblHeader/>
        </w:trPr>
        <w:tc>
          <w:tcPr>
            <w:tcW w:w="577" w:type="dxa"/>
          </w:tcPr>
          <w:p>
            <w:pPr>
              <w:pStyle w:val="TableHeading"/>
            </w:pPr>
            <w:r>
              <w:t xml:space="preserve">No.</w:t>
            </w:r>
          </w:p>
        </w:tc>
        <w:tc>
          <w:tcPr>
            <w:tcW w:w="3466" w:type="dxa"/>
          </w:tcPr>
          <w:p>
            <w:pPr>
              <w:pStyle w:val="TableHeading"/>
            </w:pPr>
            <w:r>
              <w:t xml:space="preserve">Question</w:t>
            </w:r>
          </w:p>
        </w:tc>
        <w:tc>
          <w:tcPr>
            <w:tcW w:w="3466" w:type="dxa"/>
          </w:tcPr>
          <w:p>
            <w:pPr>
              <w:pStyle w:val="TableHeading"/>
            </w:pPr>
            <w:r>
              <w:t xml:space="preserve">Answer</w:t>
            </w:r>
          </w:p>
        </w:tc>
        <w:tc>
          <w:tcPr>
            <w:tcW w:w="1851" w:type="dxa"/>
          </w:tcPr>
          <w:p>
            <w:pPr>
              <w:pStyle w:val="TableHeading"/>
            </w:pPr>
            <w:r>
              <w:t xml:space="preserve">Evidence</w:t>
            </w:r>
          </w:p>
        </w:tc>
      </w:tr>
      <w:tr>
        <w:trPr>
          <w:cantSplit/>
        </w:trPr>
        <w:tc>
          <w:tcPr>
            <w:tcW w:w="577" w:type="dxa"/>
          </w:tcPr>
          <w:p>
            <w:pPr>
              <w:pStyle w:val="TableText"/>
            </w:pPr>
            <w:r>
              <w:t xml:space="preserve">1.1</w:t>
            </w:r>
          </w:p>
        </w:tc>
        <w:tc>
          <w:tcPr>
            <w:tcW w:w="3466" w:type="dxa"/>
          </w:tcPr>
          <w:p>
            <w:pPr>
              <w:pStyle w:val="TableText"/>
            </w:pPr>
            <w:r>
              <w:t xml:space="preserve">Who is the contracting entity?</w:t>
            </w:r>
          </w:p>
        </w:tc>
        <w:tc>
          <w:tcPr>
            <w:tcW w:w="3466" w:type="dxa"/>
          </w:tcPr>
          <w:p>
            <w:pPr>
              <w:pStyle w:val="TableText"/>
            </w:pPr>
            <w:r>
              <w:t xml:space="preserve">SolerWorks LTDA, a Brazilian limited liability company registered in São Paulo (CNPJ 60.678.861/0001-55). It signs the data processing agreement in its own name, as processor.</w:t>
            </w:r>
          </w:p>
        </w:tc>
        <w:tc>
          <w:tcPr>
            <w:tcW w:w="1851" w:type="dxa"/>
          </w:tcPr>
          <w:p>
            <w:pPr>
              <w:pStyle w:val="TableText"/>
            </w:pPr>
            <w:r>
              <w:t xml:space="preserve">Governance page, solerworks.com/governance. Data processing agreement</w:t>
            </w:r>
          </w:p>
        </w:tc>
      </w:tr>
      <w:tr>
        <w:trPr>
          <w:cantSplit/>
        </w:trPr>
        <w:tc>
          <w:tcPr>
            <w:tcW w:w="577" w:type="dxa"/>
          </w:tcPr>
          <w:p>
            <w:pPr>
              <w:pStyle w:val="TableText"/>
            </w:pPr>
            <w:r>
              <w:t xml:space="preserve">1.2</w:t>
            </w:r>
          </w:p>
        </w:tc>
        <w:tc>
          <w:tcPr>
            <w:tcW w:w="3466" w:type="dxa"/>
          </w:tcPr>
          <w:p>
            <w:pPr>
              <w:pStyle w:val="TableText"/>
            </w:pPr>
            <w:r>
              <w:t xml:space="preserve">Who is responsible for data protection?</w:t>
            </w:r>
          </w:p>
        </w:tc>
        <w:tc>
          <w:tcPr>
            <w:tcW w:w="3466" w:type="dxa"/>
          </w:tcPr>
          <w:p>
            <w:pPr>
              <w:pStyle w:val="TableText"/>
            </w:pPr>
            <w:r>
              <w:t xml:space="preserve">A named privacy contact: Enzo Fonseca Soler, Sócio-Administrador, privacy@solerworks.com. No data protection officer is appointed. The privacy contact is named in each data processing agreement.</w:t>
            </w:r>
          </w:p>
        </w:tc>
        <w:tc>
          <w:tcPr>
            <w:tcW w:w="1851" w:type="dxa"/>
          </w:tcPr>
          <w:p>
            <w:pPr>
              <w:pStyle w:val="TableText"/>
            </w:pPr>
            <w:r>
              <w:t xml:space="preserve">Data processing agreement. Governance page</w:t>
            </w:r>
          </w:p>
        </w:tc>
      </w:tr>
      <w:tr>
        <w:trPr>
          <w:cantSplit/>
        </w:trPr>
        <w:tc>
          <w:tcPr>
            <w:tcW w:w="577" w:type="dxa"/>
          </w:tcPr>
          <w:p>
            <w:pPr>
              <w:pStyle w:val="TableText"/>
            </w:pPr>
            <w:r>
              <w:t xml:space="preserve">1.3</w:t>
            </w:r>
          </w:p>
        </w:tc>
        <w:tc>
          <w:tcPr>
            <w:tcW w:w="3466" w:type="dxa"/>
          </w:tcPr>
          <w:p>
            <w:pPr>
              <w:pStyle w:val="TableText"/>
            </w:pPr>
            <w:r>
              <w:t xml:space="preserve">Which legal framework covers work done from Brazil?</w:t>
            </w:r>
          </w:p>
        </w:tc>
        <w:tc>
          <w:tcPr>
            <w:tcW w:w="3466" w:type="dxa"/>
          </w:tcPr>
          <w:p>
            <w:pPr>
              <w:pStyle w:val="TableText"/>
            </w:pPr>
            <w:r>
              <w:t xml:space="preserve">The GDPR and the Brazilian LGPD. Transfers rely on the European Commission's adequacy decision for Brazil, with the Standard Contractual Clauses incorporated as a fallback.</w:t>
            </w:r>
          </w:p>
        </w:tc>
        <w:tc>
          <w:tcPr>
            <w:tcW w:w="1851" w:type="dxa"/>
          </w:tcPr>
          <w:p>
            <w:pPr>
              <w:pStyle w:val="TableText"/>
            </w:pPr>
            <w:r>
              <w:t xml:space="preserve">EU–Brazil adequacy framework, solerworks.com/adequacy-framework</w:t>
            </w:r>
          </w:p>
        </w:tc>
      </w:tr>
    </w:tbl>
    <w:p>
      <w:pPr>
        <w:pStyle w:val="TableSpacer"/>
      </w:pPr>
    </w:p>
    <w:p>
      <w:pPr>
        <w:pStyle w:val="Heading2"/>
      </w:pPr>
      <w:r>
        <w:t xml:space="preserve">Access control</w:t>
      </w:r>
    </w:p>
    <w:tbl>
      <w:tblPr>
        <w:tblStyle w:val="SWTable"/>
        <w:tblW w:w="9360" w:type="dxa"/>
        <w:tblLayout w:type="fixed"/>
        <w:tblLook w:val="0420" w:firstRow="1" w:lastRow="0" w:firstColumn="0" w:lastColumn="0" w:noHBand="1" w:noVBand="1"/>
      </w:tblPr>
      <w:tblGrid>
        <w:gridCol w:w="577"/>
        <w:gridCol w:w="3466"/>
        <w:gridCol w:w="3466"/>
        <w:gridCol w:w="1851"/>
      </w:tblGrid>
      <w:tr>
        <w:trPr>
          <w:cantSplit/>
          <w:tblHeader/>
        </w:trPr>
        <w:tc>
          <w:tcPr>
            <w:tcW w:w="577" w:type="dxa"/>
          </w:tcPr>
          <w:p>
            <w:pPr>
              <w:pStyle w:val="TableHeading"/>
            </w:pPr>
            <w:r>
              <w:t xml:space="preserve">No.</w:t>
            </w:r>
          </w:p>
        </w:tc>
        <w:tc>
          <w:tcPr>
            <w:tcW w:w="3466" w:type="dxa"/>
          </w:tcPr>
          <w:p>
            <w:pPr>
              <w:pStyle w:val="TableHeading"/>
            </w:pPr>
            <w:r>
              <w:t xml:space="preserve">Question</w:t>
            </w:r>
          </w:p>
        </w:tc>
        <w:tc>
          <w:tcPr>
            <w:tcW w:w="3466" w:type="dxa"/>
          </w:tcPr>
          <w:p>
            <w:pPr>
              <w:pStyle w:val="TableHeading"/>
            </w:pPr>
            <w:r>
              <w:t xml:space="preserve">Answer</w:t>
            </w:r>
          </w:p>
        </w:tc>
        <w:tc>
          <w:tcPr>
            <w:tcW w:w="1851" w:type="dxa"/>
          </w:tcPr>
          <w:p>
            <w:pPr>
              <w:pStyle w:val="TableHeading"/>
            </w:pPr>
            <w:r>
              <w:t xml:space="preserve">Evidence</w:t>
            </w:r>
          </w:p>
        </w:tc>
      </w:tr>
      <w:tr>
        <w:trPr>
          <w:cantSplit/>
        </w:trPr>
        <w:tc>
          <w:tcPr>
            <w:tcW w:w="577" w:type="dxa"/>
          </w:tcPr>
          <w:p>
            <w:pPr>
              <w:pStyle w:val="TableText"/>
            </w:pPr>
            <w:r>
              <w:t xml:space="preserve">2.1</w:t>
            </w:r>
          </w:p>
        </w:tc>
        <w:tc>
          <w:tcPr>
            <w:tcW w:w="3466" w:type="dxa"/>
          </w:tcPr>
          <w:p>
            <w:pPr>
              <w:pStyle w:val="TableText"/>
            </w:pPr>
            <w:r>
              <w:t xml:space="preserve">How do engineers reach client systems?</w:t>
            </w:r>
          </w:p>
        </w:tc>
        <w:tc>
          <w:tcPr>
            <w:tcW w:w="3466" w:type="dxa"/>
          </w:tcPr>
          <w:p>
            <w:pPr>
              <w:pStyle w:val="TableText"/>
            </w:pPr>
            <w:r>
              <w:t xml:space="preserve">Only through the virtual desktop, VPN or managed device the client designates, with credentials the client issues. SolerWorks holds no account or administrative right in the client environment.</w:t>
            </w:r>
          </w:p>
        </w:tc>
        <w:tc>
          <w:tcPr>
            <w:tcW w:w="1851" w:type="dxa"/>
          </w:tcPr>
          <w:p>
            <w:pPr>
              <w:pStyle w:val="TableText"/>
            </w:pPr>
            <w:r>
              <w:t xml:space="preserve">Data processing agreement, security measures annex</w:t>
            </w:r>
          </w:p>
        </w:tc>
      </w:tr>
      <w:tr>
        <w:trPr>
          <w:cantSplit/>
        </w:trPr>
        <w:tc>
          <w:tcPr>
            <w:tcW w:w="577" w:type="dxa"/>
          </w:tcPr>
          <w:p>
            <w:pPr>
              <w:pStyle w:val="TableText"/>
            </w:pPr>
            <w:r>
              <w:t xml:space="preserve">2.2</w:t>
            </w:r>
          </w:p>
        </w:tc>
        <w:tc>
          <w:tcPr>
            <w:tcW w:w="3466" w:type="dxa"/>
          </w:tcPr>
          <w:p>
            <w:pPr>
              <w:pStyle w:val="TableText"/>
            </w:pPr>
            <w:r>
              <w:t xml:space="preserve">Who issues and revokes credentials and enforces multi-factor authentication?</w:t>
            </w:r>
          </w:p>
        </w:tc>
        <w:tc>
          <w:tcPr>
            <w:tcW w:w="3466" w:type="dxa"/>
          </w:tcPr>
          <w:p>
            <w:pPr>
              <w:pStyle w:val="TableText"/>
            </w:pPr>
            <w:r>
              <w:t xml:space="preserve">The client, under its own identity provider and policy. One credential set per named engineer. No shared logins or sessions. SolerWorks requests revocation the day a role ends.</w:t>
            </w:r>
          </w:p>
        </w:tc>
        <w:tc>
          <w:tcPr>
            <w:tcW w:w="1851" w:type="dxa"/>
          </w:tcPr>
          <w:p>
            <w:pPr>
              <w:pStyle w:val="TableText"/>
            </w:pPr>
            <w:r>
              <w:t xml:space="preserve">Authorized personnel register. Deletion and deprovisioning certificate</w:t>
            </w:r>
          </w:p>
        </w:tc>
      </w:tr>
      <w:tr>
        <w:trPr>
          <w:cantSplit/>
        </w:trPr>
        <w:tc>
          <w:tcPr>
            <w:tcW w:w="577" w:type="dxa"/>
          </w:tcPr>
          <w:p>
            <w:pPr>
              <w:pStyle w:val="TableText"/>
            </w:pPr>
            <w:r>
              <w:t xml:space="preserve">2.3</w:t>
            </w:r>
          </w:p>
        </w:tc>
        <w:tc>
          <w:tcPr>
            <w:tcW w:w="3466" w:type="dxa"/>
          </w:tcPr>
          <w:p>
            <w:pPr>
              <w:pStyle w:val="TableText"/>
            </w:pPr>
            <w:r>
              <w:t xml:space="preserve">Does the delivery partner have access?</w:t>
            </w:r>
          </w:p>
        </w:tc>
        <w:tc>
          <w:tcPr>
            <w:tcW w:w="3466" w:type="dxa"/>
          </w:tcPr>
          <w:p>
            <w:pPr>
              <w:pStyle w:val="TableText"/>
            </w:pPr>
            <w:r>
              <w:t xml:space="preserve">No. The delivery partner holds no credentials in the client environment and receives no client personal data.</w:t>
            </w:r>
          </w:p>
        </w:tc>
        <w:tc>
          <w:tcPr>
            <w:tcW w:w="1851" w:type="dxa"/>
          </w:tcPr>
          <w:p>
            <w:pPr>
              <w:pStyle w:val="TableText"/>
            </w:pPr>
            <w:r>
              <w:t xml:space="preserve">Data processing agreement. Sub-processor declaration, trust center</w:t>
            </w:r>
          </w:p>
        </w:tc>
      </w:tr>
    </w:tbl>
    <w:p>
      <w:pPr>
        <w:pStyle w:val="TableSpacer"/>
      </w:pPr>
    </w:p>
    <w:p>
      <w:pPr>
        <w:pStyle w:val="Heading2"/>
      </w:pPr>
      <w:r>
        <w:t xml:space="preserve">Devices and endpoints</w:t>
      </w:r>
    </w:p>
    <w:tbl>
      <w:tblPr>
        <w:tblStyle w:val="SWTable"/>
        <w:tblW w:w="9360" w:type="dxa"/>
        <w:tblLayout w:type="fixed"/>
        <w:tblLook w:val="0420" w:firstRow="1" w:lastRow="0" w:firstColumn="0" w:lastColumn="0" w:noHBand="1" w:noVBand="1"/>
      </w:tblPr>
      <w:tblGrid>
        <w:gridCol w:w="577"/>
        <w:gridCol w:w="3466"/>
        <w:gridCol w:w="3466"/>
        <w:gridCol w:w="1851"/>
      </w:tblGrid>
      <w:tr>
        <w:trPr>
          <w:cantSplit/>
          <w:tblHeader/>
        </w:trPr>
        <w:tc>
          <w:tcPr>
            <w:tcW w:w="577" w:type="dxa"/>
          </w:tcPr>
          <w:p>
            <w:pPr>
              <w:pStyle w:val="TableHeading"/>
            </w:pPr>
            <w:r>
              <w:t xml:space="preserve">No.</w:t>
            </w:r>
          </w:p>
        </w:tc>
        <w:tc>
          <w:tcPr>
            <w:tcW w:w="3466" w:type="dxa"/>
          </w:tcPr>
          <w:p>
            <w:pPr>
              <w:pStyle w:val="TableHeading"/>
            </w:pPr>
            <w:r>
              <w:t xml:space="preserve">Question</w:t>
            </w:r>
          </w:p>
        </w:tc>
        <w:tc>
          <w:tcPr>
            <w:tcW w:w="3466" w:type="dxa"/>
          </w:tcPr>
          <w:p>
            <w:pPr>
              <w:pStyle w:val="TableHeading"/>
            </w:pPr>
            <w:r>
              <w:t xml:space="preserve">Answer</w:t>
            </w:r>
          </w:p>
        </w:tc>
        <w:tc>
          <w:tcPr>
            <w:tcW w:w="1851" w:type="dxa"/>
          </w:tcPr>
          <w:p>
            <w:pPr>
              <w:pStyle w:val="TableHeading"/>
            </w:pPr>
            <w:r>
              <w:t xml:space="preserve">Evidence</w:t>
            </w:r>
          </w:p>
        </w:tc>
      </w:tr>
      <w:tr>
        <w:trPr>
          <w:cantSplit/>
        </w:trPr>
        <w:tc>
          <w:tcPr>
            <w:tcW w:w="577" w:type="dxa"/>
          </w:tcPr>
          <w:p>
            <w:pPr>
              <w:pStyle w:val="TableText"/>
            </w:pPr>
            <w:r>
              <w:t xml:space="preserve">3.1</w:t>
            </w:r>
          </w:p>
        </w:tc>
        <w:tc>
          <w:tcPr>
            <w:tcW w:w="3466" w:type="dxa"/>
          </w:tcPr>
          <w:p>
            <w:pPr>
              <w:pStyle w:val="TableText"/>
            </w:pPr>
            <w:r>
              <w:t xml:space="preserve">Who provides the workspace?</w:t>
            </w:r>
          </w:p>
        </w:tc>
        <w:tc>
          <w:tcPr>
            <w:tcW w:w="3466" w:type="dxa"/>
          </w:tcPr>
          <w:p>
            <w:pPr>
              <w:pStyle w:val="TableText"/>
            </w:pPr>
            <w:r>
              <w:t xml:space="preserve">The client provisions and manages it to its own standard: a corporate device, a virtual desktop or a secure VPN tenancy.</w:t>
            </w:r>
          </w:p>
        </w:tc>
        <w:tc>
          <w:tcPr>
            <w:tcW w:w="1851" w:type="dxa"/>
          </w:tcPr>
          <w:p>
            <w:pPr>
              <w:pStyle w:val="TableText"/>
            </w:pPr>
            <w:r>
              <w:t xml:space="preserve">Data processing agreement, security measures annex</w:t>
            </w:r>
          </w:p>
        </w:tc>
      </w:tr>
      <w:tr>
        <w:trPr>
          <w:cantSplit/>
        </w:trPr>
        <w:tc>
          <w:tcPr>
            <w:tcW w:w="577" w:type="dxa"/>
          </w:tcPr>
          <w:p>
            <w:pPr>
              <w:pStyle w:val="TableText"/>
            </w:pPr>
            <w:r>
              <w:t xml:space="preserve">3.2</w:t>
            </w:r>
          </w:p>
        </w:tc>
        <w:tc>
          <w:tcPr>
            <w:tcW w:w="3466" w:type="dxa"/>
          </w:tcPr>
          <w:p>
            <w:pPr>
              <w:pStyle w:val="TableText"/>
            </w:pPr>
            <w:r>
              <w:t xml:space="preserve">What baseline applies to the physical endpoint?</w:t>
            </w:r>
          </w:p>
        </w:tc>
        <w:tc>
          <w:tcPr>
            <w:tcW w:w="3466" w:type="dxa"/>
          </w:tcPr>
          <w:p>
            <w:pPr>
              <w:pStyle w:val="TableText"/>
            </w:pPr>
            <w:r>
              <w:t xml:space="preserve">Before credentials are issued, each engineer attests to full-disk encryption, automatic screen lock, a supported and patched operating system, and endpoint protection. SolerWorks keeps the attestation.</w:t>
            </w:r>
          </w:p>
        </w:tc>
        <w:tc>
          <w:tcPr>
            <w:tcW w:w="1851" w:type="dxa"/>
          </w:tcPr>
          <w:p>
            <w:pPr>
              <w:pStyle w:val="TableText"/>
            </w:pPr>
            <w:r>
              <w:t xml:space="preserve">Signed endpoint attestation. Engineer onboarding records</w:t>
            </w:r>
          </w:p>
        </w:tc>
      </w:tr>
      <w:tr>
        <w:trPr>
          <w:cantSplit/>
        </w:trPr>
        <w:tc>
          <w:tcPr>
            <w:tcW w:w="577" w:type="dxa"/>
          </w:tcPr>
          <w:p>
            <w:pPr>
              <w:pStyle w:val="TableText"/>
            </w:pPr>
            <w:r>
              <w:t xml:space="preserve">3.3</w:t>
            </w:r>
          </w:p>
        </w:tc>
        <w:tc>
          <w:tcPr>
            <w:tcW w:w="3466" w:type="dxa"/>
          </w:tcPr>
          <w:p>
            <w:pPr>
              <w:pStyle w:val="TableText"/>
            </w:pPr>
            <w:r>
              <w:t xml:space="preserve">Does SolerWorks manage or monitor endpoints?</w:t>
            </w:r>
          </w:p>
        </w:tc>
        <w:tc>
          <w:tcPr>
            <w:tcW w:w="3466" w:type="dxa"/>
          </w:tcPr>
          <w:p>
            <w:pPr>
              <w:pStyle w:val="TableText"/>
            </w:pPr>
            <w:r>
              <w:t xml:space="preserve">No. SolerWorks runs no device management or monitoring tooling. Monitoring inside the client environment stays with the client.</w:t>
            </w:r>
          </w:p>
        </w:tc>
        <w:tc>
          <w:tcPr>
            <w:tcW w:w="1851" w:type="dxa"/>
          </w:tcPr>
          <w:p>
            <w:pPr>
              <w:pStyle w:val="TableText"/>
            </w:pPr>
            <w:r>
              <w:t xml:space="preserve">Data processing agreement, security measures annex</w:t>
            </w:r>
          </w:p>
        </w:tc>
      </w:tr>
    </w:tbl>
    <w:p>
      <w:pPr>
        <w:pStyle w:val="TableSpacer"/>
      </w:pPr>
    </w:p>
    <w:p>
      <w:pPr>
        <w:pStyle w:val="Heading2"/>
      </w:pPr>
      <w:r>
        <w:t xml:space="preserve">Data handling</w:t>
      </w:r>
    </w:p>
    <w:tbl>
      <w:tblPr>
        <w:tblStyle w:val="SWTable"/>
        <w:tblW w:w="9360" w:type="dxa"/>
        <w:tblLayout w:type="fixed"/>
        <w:tblLook w:val="0420" w:firstRow="1" w:lastRow="0" w:firstColumn="0" w:lastColumn="0" w:noHBand="1" w:noVBand="1"/>
      </w:tblPr>
      <w:tblGrid>
        <w:gridCol w:w="577"/>
        <w:gridCol w:w="3466"/>
        <w:gridCol w:w="3466"/>
        <w:gridCol w:w="1851"/>
      </w:tblGrid>
      <w:tr>
        <w:trPr>
          <w:cantSplit/>
          <w:tblHeader/>
        </w:trPr>
        <w:tc>
          <w:tcPr>
            <w:tcW w:w="577" w:type="dxa"/>
          </w:tcPr>
          <w:p>
            <w:pPr>
              <w:pStyle w:val="TableHeading"/>
            </w:pPr>
            <w:r>
              <w:t xml:space="preserve">No.</w:t>
            </w:r>
          </w:p>
        </w:tc>
        <w:tc>
          <w:tcPr>
            <w:tcW w:w="3466" w:type="dxa"/>
          </w:tcPr>
          <w:p>
            <w:pPr>
              <w:pStyle w:val="TableHeading"/>
            </w:pPr>
            <w:r>
              <w:t xml:space="preserve">Question</w:t>
            </w:r>
          </w:p>
        </w:tc>
        <w:tc>
          <w:tcPr>
            <w:tcW w:w="3466" w:type="dxa"/>
          </w:tcPr>
          <w:p>
            <w:pPr>
              <w:pStyle w:val="TableHeading"/>
            </w:pPr>
            <w:r>
              <w:t xml:space="preserve">Answer</w:t>
            </w:r>
          </w:p>
        </w:tc>
        <w:tc>
          <w:tcPr>
            <w:tcW w:w="1851" w:type="dxa"/>
          </w:tcPr>
          <w:p>
            <w:pPr>
              <w:pStyle w:val="TableHeading"/>
            </w:pPr>
            <w:r>
              <w:t xml:space="preserve">Evidence</w:t>
            </w:r>
          </w:p>
        </w:tc>
      </w:tr>
      <w:tr>
        <w:trPr>
          <w:cantSplit/>
        </w:trPr>
        <w:tc>
          <w:tcPr>
            <w:tcW w:w="577" w:type="dxa"/>
          </w:tcPr>
          <w:p>
            <w:pPr>
              <w:pStyle w:val="TableText"/>
            </w:pPr>
            <w:r>
              <w:t xml:space="preserve">4.1</w:t>
            </w:r>
          </w:p>
        </w:tc>
        <w:tc>
          <w:tcPr>
            <w:tcW w:w="3466" w:type="dxa"/>
          </w:tcPr>
          <w:p>
            <w:pPr>
              <w:pStyle w:val="TableText"/>
            </w:pPr>
            <w:r>
              <w:t xml:space="preserve">Where is client personal data stored?</w:t>
            </w:r>
          </w:p>
        </w:tc>
        <w:tc>
          <w:tcPr>
            <w:tcW w:w="3466" w:type="dxa"/>
          </w:tcPr>
          <w:p>
            <w:pPr>
              <w:pStyle w:val="TableText"/>
            </w:pPr>
            <w:r>
              <w:t xml:space="preserve">Only in the client's own environment. SolerWorks does not host, store, back up or transmit it.</w:t>
            </w:r>
          </w:p>
        </w:tc>
        <w:tc>
          <w:tcPr>
            <w:tcW w:w="1851" w:type="dxa"/>
          </w:tcPr>
          <w:p>
            <w:pPr>
              <w:pStyle w:val="TableText"/>
            </w:pPr>
            <w:r>
              <w:t xml:space="preserve">Data processing agreement. Record of processing activities</w:t>
            </w:r>
          </w:p>
        </w:tc>
      </w:tr>
      <w:tr>
        <w:trPr>
          <w:cantSplit/>
        </w:trPr>
        <w:tc>
          <w:tcPr>
            <w:tcW w:w="577" w:type="dxa"/>
          </w:tcPr>
          <w:p>
            <w:pPr>
              <w:pStyle w:val="TableText"/>
            </w:pPr>
            <w:r>
              <w:t xml:space="preserve">4.2</w:t>
            </w:r>
          </w:p>
        </w:tc>
        <w:tc>
          <w:tcPr>
            <w:tcW w:w="3466" w:type="dxa"/>
          </w:tcPr>
          <w:p>
            <w:pPr>
              <w:pStyle w:val="TableText"/>
            </w:pPr>
            <w:r>
              <w:t xml:space="preserve">Can engineers copy or export data?</w:t>
            </w:r>
          </w:p>
        </w:tc>
        <w:tc>
          <w:tcPr>
            <w:tcW w:w="3466" w:type="dxa"/>
          </w:tcPr>
          <w:p>
            <w:pPr>
              <w:pStyle w:val="TableText"/>
            </w:pPr>
            <w:r>
              <w:t xml:space="preserve">No. Copying, downloading, exporting, printing, screenshots and forwarding are prohibited by each engineer's undertaking. No local copies, caches or databases are kept on devices in Brazil.</w:t>
            </w:r>
          </w:p>
        </w:tc>
        <w:tc>
          <w:tcPr>
            <w:tcW w:w="1851" w:type="dxa"/>
          </w:tcPr>
          <w:p>
            <w:pPr>
              <w:pStyle w:val="TableText"/>
            </w:pPr>
            <w:r>
              <w:t xml:space="preserve">Engineer security and privacy undertaking</w:t>
            </w:r>
          </w:p>
        </w:tc>
      </w:tr>
      <w:tr>
        <w:trPr>
          <w:cantSplit/>
        </w:trPr>
        <w:tc>
          <w:tcPr>
            <w:tcW w:w="577" w:type="dxa"/>
          </w:tcPr>
          <w:p>
            <w:pPr>
              <w:pStyle w:val="TableText"/>
            </w:pPr>
            <w:r>
              <w:t xml:space="preserve">4.3</w:t>
            </w:r>
          </w:p>
        </w:tc>
        <w:tc>
          <w:tcPr>
            <w:tcW w:w="3466" w:type="dxa"/>
          </w:tcPr>
          <w:p>
            <w:pPr>
              <w:pStyle w:val="TableText"/>
            </w:pPr>
            <w:r>
              <w:t xml:space="preserve">What happens when a role or an engagement ends?</w:t>
            </w:r>
          </w:p>
        </w:tc>
        <w:tc>
          <w:tcPr>
            <w:tcW w:w="3466" w:type="dxa"/>
          </w:tcPr>
          <w:p>
            <w:pPr>
              <w:pStyle w:val="TableText"/>
            </w:pPr>
            <w:r>
              <w:t xml:space="preserve">SolerWorks runs a seven-step offboarding checklist. The client revokes access, and a signed certificate confirms that nothing was retained.</w:t>
            </w:r>
          </w:p>
        </w:tc>
        <w:tc>
          <w:tcPr>
            <w:tcW w:w="1851" w:type="dxa"/>
          </w:tcPr>
          <w:p>
            <w:pPr>
              <w:pStyle w:val="TableText"/>
            </w:pPr>
            <w:r>
              <w:t xml:space="preserve">Deletion and deprovisioning certificate</w:t>
            </w:r>
          </w:p>
        </w:tc>
      </w:tr>
    </w:tbl>
    <w:p>
      <w:pPr>
        <w:pStyle w:val="TableSpacer"/>
      </w:pPr>
    </w:p>
    <w:p>
      <w:pPr>
        <w:pStyle w:val="Heading2"/>
      </w:pPr>
      <w:r>
        <w:t xml:space="preserve">Personnel</w:t>
      </w:r>
    </w:p>
    <w:tbl>
      <w:tblPr>
        <w:tblStyle w:val="SWTable"/>
        <w:tblW w:w="9360" w:type="dxa"/>
        <w:tblLayout w:type="fixed"/>
        <w:tblLook w:val="0420" w:firstRow="1" w:lastRow="0" w:firstColumn="0" w:lastColumn="0" w:noHBand="1" w:noVBand="1"/>
      </w:tblPr>
      <w:tblGrid>
        <w:gridCol w:w="577"/>
        <w:gridCol w:w="3466"/>
        <w:gridCol w:w="3466"/>
        <w:gridCol w:w="1851"/>
      </w:tblGrid>
      <w:tr>
        <w:trPr>
          <w:cantSplit/>
          <w:tblHeader/>
        </w:trPr>
        <w:tc>
          <w:tcPr>
            <w:tcW w:w="577" w:type="dxa"/>
          </w:tcPr>
          <w:p>
            <w:pPr>
              <w:pStyle w:val="TableHeading"/>
            </w:pPr>
            <w:r>
              <w:t xml:space="preserve">No.</w:t>
            </w:r>
          </w:p>
        </w:tc>
        <w:tc>
          <w:tcPr>
            <w:tcW w:w="3466" w:type="dxa"/>
          </w:tcPr>
          <w:p>
            <w:pPr>
              <w:pStyle w:val="TableHeading"/>
            </w:pPr>
            <w:r>
              <w:t xml:space="preserve">Question</w:t>
            </w:r>
          </w:p>
        </w:tc>
        <w:tc>
          <w:tcPr>
            <w:tcW w:w="3466" w:type="dxa"/>
          </w:tcPr>
          <w:p>
            <w:pPr>
              <w:pStyle w:val="TableHeading"/>
            </w:pPr>
            <w:r>
              <w:t xml:space="preserve">Answer</w:t>
            </w:r>
          </w:p>
        </w:tc>
        <w:tc>
          <w:tcPr>
            <w:tcW w:w="1851" w:type="dxa"/>
          </w:tcPr>
          <w:p>
            <w:pPr>
              <w:pStyle w:val="TableHeading"/>
            </w:pPr>
            <w:r>
              <w:t xml:space="preserve">Evidence</w:t>
            </w:r>
          </w:p>
        </w:tc>
      </w:tr>
      <w:tr>
        <w:trPr>
          <w:cantSplit/>
        </w:trPr>
        <w:tc>
          <w:tcPr>
            <w:tcW w:w="577" w:type="dxa"/>
          </w:tcPr>
          <w:p>
            <w:pPr>
              <w:pStyle w:val="TableText"/>
            </w:pPr>
            <w:r>
              <w:t xml:space="preserve">5.1</w:t>
            </w:r>
          </w:p>
        </w:tc>
        <w:tc>
          <w:tcPr>
            <w:tcW w:w="3466" w:type="dxa"/>
          </w:tcPr>
          <w:p>
            <w:pPr>
              <w:pStyle w:val="TableText"/>
            </w:pPr>
            <w:r>
              <w:t xml:space="preserve">Who engages the engineers?</w:t>
            </w:r>
          </w:p>
        </w:tc>
        <w:tc>
          <w:tcPr>
            <w:tcW w:w="3466" w:type="dxa"/>
          </w:tcPr>
          <w:p>
            <w:pPr>
              <w:pStyle w:val="TableText"/>
            </w:pPr>
            <w:r>
              <w:t xml:space="preserve">SolerWorks contracts each engineer in Brazil in its own name. They act on its instructions as persons authorised to process under Article 29 GDPR, and are not sub-processors.</w:t>
            </w:r>
          </w:p>
        </w:tc>
        <w:tc>
          <w:tcPr>
            <w:tcW w:w="1851" w:type="dxa"/>
          </w:tcPr>
          <w:p>
            <w:pPr>
              <w:pStyle w:val="TableText"/>
            </w:pPr>
            <w:r>
              <w:t xml:space="preserve">Data processing agreement. Individual engineer agreements</w:t>
            </w:r>
          </w:p>
        </w:tc>
      </w:tr>
      <w:tr>
        <w:trPr>
          <w:cantSplit/>
        </w:trPr>
        <w:tc>
          <w:tcPr>
            <w:tcW w:w="577" w:type="dxa"/>
          </w:tcPr>
          <w:p>
            <w:pPr>
              <w:pStyle w:val="TableText"/>
            </w:pPr>
            <w:r>
              <w:t xml:space="preserve">5.2</w:t>
            </w:r>
          </w:p>
        </w:tc>
        <w:tc>
          <w:tcPr>
            <w:tcW w:w="3466" w:type="dxa"/>
          </w:tcPr>
          <w:p>
            <w:pPr>
              <w:pStyle w:val="TableText"/>
            </w:pPr>
            <w:r>
              <w:t xml:space="preserve">What does each engineer sign before access?</w:t>
            </w:r>
          </w:p>
        </w:tc>
        <w:tc>
          <w:tcPr>
            <w:tcW w:w="3466" w:type="dxa"/>
          </w:tcPr>
          <w:p>
            <w:pPr>
              <w:pStyle w:val="TableText"/>
            </w:pPr>
            <w:r>
              <w:t xml:space="preserve">A security and privacy undertaking covering confidentiality, the client-contained perimeter, immediate incident reporting, and return and deletion. It is signed before the client issues credentials.</w:t>
            </w:r>
          </w:p>
        </w:tc>
        <w:tc>
          <w:tcPr>
            <w:tcW w:w="1851" w:type="dxa"/>
          </w:tcPr>
          <w:p>
            <w:pPr>
              <w:pStyle w:val="TableText"/>
            </w:pPr>
            <w:r>
              <w:t xml:space="preserve">Engineer security and privacy undertaking, English and Portuguese</w:t>
            </w:r>
          </w:p>
        </w:tc>
      </w:tr>
      <w:tr>
        <w:trPr>
          <w:cantSplit/>
        </w:trPr>
        <w:tc>
          <w:tcPr>
            <w:tcW w:w="577" w:type="dxa"/>
          </w:tcPr>
          <w:p>
            <w:pPr>
              <w:pStyle w:val="TableText"/>
            </w:pPr>
            <w:r>
              <w:t xml:space="preserve">5.3</w:t>
            </w:r>
          </w:p>
        </w:tc>
        <w:tc>
          <w:tcPr>
            <w:tcW w:w="3466" w:type="dxa"/>
          </w:tcPr>
          <w:p>
            <w:pPr>
              <w:pStyle w:val="TableText"/>
            </w:pPr>
            <w:r>
              <w:t xml:space="preserve">How are engineers vetted and recorded?</w:t>
            </w:r>
          </w:p>
        </w:tc>
        <w:tc>
          <w:tcPr>
            <w:tcW w:w="3466" w:type="dxa"/>
          </w:tcPr>
          <w:p>
            <w:pPr>
              <w:pStyle w:val="TableText"/>
            </w:pPr>
            <w:r>
              <w:t xml:space="preserve">SolerWorks verifies identity, right to work and professional background before assignment, and completes security and privacy onboarding before access. A live register records name, role, systems and access dates.</w:t>
            </w:r>
          </w:p>
        </w:tc>
        <w:tc>
          <w:tcPr>
            <w:tcW w:w="1851" w:type="dxa"/>
          </w:tcPr>
          <w:p>
            <w:pPr>
              <w:pStyle w:val="TableText"/>
            </w:pPr>
            <w:r>
              <w:t xml:space="preserve">Authorized personnel register. Engineer onboarding records</w:t>
            </w:r>
          </w:p>
        </w:tc>
      </w:tr>
    </w:tbl>
    <w:p>
      <w:pPr>
        <w:pStyle w:val="TableSpacer"/>
      </w:pPr>
    </w:p>
    <w:p>
      <w:pPr>
        <w:pStyle w:val="Heading2"/>
      </w:pPr>
      <w:r>
        <w:t xml:space="preserve">Incident response</w:t>
      </w:r>
    </w:p>
    <w:tbl>
      <w:tblPr>
        <w:tblStyle w:val="SWTable"/>
        <w:tblW w:w="9360" w:type="dxa"/>
        <w:tblLayout w:type="fixed"/>
        <w:tblLook w:val="0420" w:firstRow="1" w:lastRow="0" w:firstColumn="0" w:lastColumn="0" w:noHBand="1" w:noVBand="1"/>
      </w:tblPr>
      <w:tblGrid>
        <w:gridCol w:w="577"/>
        <w:gridCol w:w="3466"/>
        <w:gridCol w:w="3466"/>
        <w:gridCol w:w="1851"/>
      </w:tblGrid>
      <w:tr>
        <w:trPr>
          <w:cantSplit/>
          <w:tblHeader/>
        </w:trPr>
        <w:tc>
          <w:tcPr>
            <w:tcW w:w="577" w:type="dxa"/>
          </w:tcPr>
          <w:p>
            <w:pPr>
              <w:pStyle w:val="TableHeading"/>
            </w:pPr>
            <w:r>
              <w:t xml:space="preserve">No.</w:t>
            </w:r>
          </w:p>
        </w:tc>
        <w:tc>
          <w:tcPr>
            <w:tcW w:w="3466" w:type="dxa"/>
          </w:tcPr>
          <w:p>
            <w:pPr>
              <w:pStyle w:val="TableHeading"/>
            </w:pPr>
            <w:r>
              <w:t xml:space="preserve">Question</w:t>
            </w:r>
          </w:p>
        </w:tc>
        <w:tc>
          <w:tcPr>
            <w:tcW w:w="3466" w:type="dxa"/>
          </w:tcPr>
          <w:p>
            <w:pPr>
              <w:pStyle w:val="TableHeading"/>
            </w:pPr>
            <w:r>
              <w:t xml:space="preserve">Answer</w:t>
            </w:r>
          </w:p>
        </w:tc>
        <w:tc>
          <w:tcPr>
            <w:tcW w:w="1851" w:type="dxa"/>
          </w:tcPr>
          <w:p>
            <w:pPr>
              <w:pStyle w:val="TableHeading"/>
            </w:pPr>
            <w:r>
              <w:t xml:space="preserve">Evidence</w:t>
            </w:r>
          </w:p>
        </w:tc>
      </w:tr>
      <w:tr>
        <w:trPr>
          <w:cantSplit/>
        </w:trPr>
        <w:tc>
          <w:tcPr>
            <w:tcW w:w="577" w:type="dxa"/>
          </w:tcPr>
          <w:p>
            <w:pPr>
              <w:pStyle w:val="TableText"/>
            </w:pPr>
            <w:r>
              <w:t xml:space="preserve">6.1</w:t>
            </w:r>
          </w:p>
        </w:tc>
        <w:tc>
          <w:tcPr>
            <w:tcW w:w="3466" w:type="dxa"/>
          </w:tcPr>
          <w:p>
            <w:pPr>
              <w:pStyle w:val="TableText"/>
            </w:pPr>
            <w:r>
              <w:t xml:space="preserve">How is an incident reported internally?</w:t>
            </w:r>
          </w:p>
        </w:tc>
        <w:tc>
          <w:tcPr>
            <w:tcW w:w="3466" w:type="dxa"/>
          </w:tcPr>
          <w:p>
            <w:pPr>
              <w:pStyle w:val="TableText"/>
            </w:pPr>
            <w:r>
              <w:t xml:space="preserve">Every engineer is bound to report any actual or suspected incident to SolerWorks immediately.</w:t>
            </w:r>
          </w:p>
        </w:tc>
        <w:tc>
          <w:tcPr>
            <w:tcW w:w="1851" w:type="dxa"/>
          </w:tcPr>
          <w:p>
            <w:pPr>
              <w:pStyle w:val="TableText"/>
            </w:pPr>
            <w:r>
              <w:t xml:space="preserve">Engineer security and privacy undertaking</w:t>
            </w:r>
          </w:p>
        </w:tc>
      </w:tr>
      <w:tr>
        <w:trPr>
          <w:cantSplit/>
        </w:trPr>
        <w:tc>
          <w:tcPr>
            <w:tcW w:w="577" w:type="dxa"/>
          </w:tcPr>
          <w:p>
            <w:pPr>
              <w:pStyle w:val="TableText"/>
            </w:pPr>
            <w:r>
              <w:t xml:space="preserve">6.2</w:t>
            </w:r>
          </w:p>
        </w:tc>
        <w:tc>
          <w:tcPr>
            <w:tcW w:w="3466" w:type="dxa"/>
          </w:tcPr>
          <w:p>
            <w:pPr>
              <w:pStyle w:val="TableText"/>
            </w:pPr>
            <w:r>
              <w:t xml:space="preserve">When is the client notified?</w:t>
            </w:r>
          </w:p>
        </w:tc>
        <w:tc>
          <w:tcPr>
            <w:tcW w:w="3466" w:type="dxa"/>
          </w:tcPr>
          <w:p>
            <w:pPr>
              <w:pStyle w:val="TableText"/>
            </w:pPr>
            <w:r>
              <w:t xml:space="preserve">Without undue delay after SolerWorks becomes aware, on one structured form, with updates as the facts develop, so the client can meet its own 72-hour regulatory deadline.</w:t>
            </w:r>
          </w:p>
        </w:tc>
        <w:tc>
          <w:tcPr>
            <w:tcW w:w="1851" w:type="dxa"/>
          </w:tcPr>
          <w:p>
            <w:pPr>
              <w:pStyle w:val="TableText"/>
            </w:pPr>
            <w:r>
              <w:t xml:space="preserve">Security incident notification form. Data processing agreement</w:t>
            </w:r>
          </w:p>
        </w:tc>
      </w:tr>
      <w:tr>
        <w:trPr>
          <w:cantSplit/>
        </w:trPr>
        <w:tc>
          <w:tcPr>
            <w:tcW w:w="577" w:type="dxa"/>
          </w:tcPr>
          <w:p>
            <w:pPr>
              <w:pStyle w:val="TableText"/>
            </w:pPr>
            <w:r>
              <w:t xml:space="preserve">6.3</w:t>
            </w:r>
          </w:p>
        </w:tc>
        <w:tc>
          <w:tcPr>
            <w:tcW w:w="3466" w:type="dxa"/>
          </w:tcPr>
          <w:p>
            <w:pPr>
              <w:pStyle w:val="TableText"/>
            </w:pPr>
            <w:r>
              <w:t xml:space="preserve">Does SolerWorks detect incidents inside the client environment?</w:t>
            </w:r>
          </w:p>
        </w:tc>
        <w:tc>
          <w:tcPr>
            <w:tcW w:w="3466" w:type="dxa"/>
          </w:tcPr>
          <w:p>
            <w:pPr>
              <w:pStyle w:val="TableText"/>
            </w:pPr>
            <w:r>
              <w:t xml:space="preserve">No. Detection and logging inside the environment rely on the client's own tooling. SolerWorks provides the reporting chain and the record.</w:t>
            </w:r>
          </w:p>
        </w:tc>
        <w:tc>
          <w:tcPr>
            <w:tcW w:w="1851" w:type="dxa"/>
          </w:tcPr>
          <w:p>
            <w:pPr>
              <w:pStyle w:val="TableText"/>
            </w:pPr>
            <w:r>
              <w:t xml:space="preserve">Data processing agreement, security measures annex</w:t>
            </w:r>
          </w:p>
        </w:tc>
      </w:tr>
    </w:tbl>
    <w:p>
      <w:pPr>
        <w:pStyle w:val="TableSpacer"/>
      </w:pPr>
    </w:p>
    <w:p>
      <w:pPr>
        <w:pStyle w:val="Heading2"/>
      </w:pPr>
      <w:r>
        <w:t xml:space="preserve">Sub-processors</w:t>
      </w:r>
    </w:p>
    <w:tbl>
      <w:tblPr>
        <w:tblStyle w:val="SWTable"/>
        <w:tblW w:w="9360" w:type="dxa"/>
        <w:tblLayout w:type="fixed"/>
        <w:tblLook w:val="0420" w:firstRow="1" w:lastRow="0" w:firstColumn="0" w:lastColumn="0" w:noHBand="1" w:noVBand="1"/>
      </w:tblPr>
      <w:tblGrid>
        <w:gridCol w:w="577"/>
        <w:gridCol w:w="3466"/>
        <w:gridCol w:w="3466"/>
        <w:gridCol w:w="1851"/>
      </w:tblGrid>
      <w:tr>
        <w:trPr>
          <w:cantSplit/>
          <w:tblHeader/>
        </w:trPr>
        <w:tc>
          <w:tcPr>
            <w:tcW w:w="577" w:type="dxa"/>
          </w:tcPr>
          <w:p>
            <w:pPr>
              <w:pStyle w:val="TableHeading"/>
            </w:pPr>
            <w:r>
              <w:t xml:space="preserve">No.</w:t>
            </w:r>
          </w:p>
        </w:tc>
        <w:tc>
          <w:tcPr>
            <w:tcW w:w="3466" w:type="dxa"/>
          </w:tcPr>
          <w:p>
            <w:pPr>
              <w:pStyle w:val="TableHeading"/>
            </w:pPr>
            <w:r>
              <w:t xml:space="preserve">Question</w:t>
            </w:r>
          </w:p>
        </w:tc>
        <w:tc>
          <w:tcPr>
            <w:tcW w:w="3466" w:type="dxa"/>
          </w:tcPr>
          <w:p>
            <w:pPr>
              <w:pStyle w:val="TableHeading"/>
            </w:pPr>
            <w:r>
              <w:t xml:space="preserve">Answer</w:t>
            </w:r>
          </w:p>
        </w:tc>
        <w:tc>
          <w:tcPr>
            <w:tcW w:w="1851" w:type="dxa"/>
          </w:tcPr>
          <w:p>
            <w:pPr>
              <w:pStyle w:val="TableHeading"/>
            </w:pPr>
            <w:r>
              <w:t xml:space="preserve">Evidence</w:t>
            </w:r>
          </w:p>
        </w:tc>
      </w:tr>
      <w:tr>
        <w:trPr>
          <w:cantSplit/>
        </w:trPr>
        <w:tc>
          <w:tcPr>
            <w:tcW w:w="577" w:type="dxa"/>
          </w:tcPr>
          <w:p>
            <w:pPr>
              <w:pStyle w:val="TableText"/>
            </w:pPr>
            <w:r>
              <w:t xml:space="preserve">7.1</w:t>
            </w:r>
          </w:p>
        </w:tc>
        <w:tc>
          <w:tcPr>
            <w:tcW w:w="3466" w:type="dxa"/>
          </w:tcPr>
          <w:p>
            <w:pPr>
              <w:pStyle w:val="TableText"/>
            </w:pPr>
            <w:r>
              <w:t xml:space="preserve">Which sub-processors are engaged?</w:t>
            </w:r>
          </w:p>
        </w:tc>
        <w:tc>
          <w:tcPr>
            <w:tcW w:w="3466" w:type="dxa"/>
          </w:tcPr>
          <w:p>
            <w:pPr>
              <w:pStyle w:val="TableText"/>
            </w:pPr>
            <w:r>
              <w:t xml:space="preserve">None. SolerWorks uses no hosting, storage, analytics or AI provider for client personal data. Engineers are its own authorised personnel, not sub-processors.</w:t>
            </w:r>
          </w:p>
        </w:tc>
        <w:tc>
          <w:tcPr>
            <w:tcW w:w="1851" w:type="dxa"/>
          </w:tcPr>
          <w:p>
            <w:pPr>
              <w:pStyle w:val="TableText"/>
            </w:pPr>
            <w:r>
              <w:t xml:space="preserve">Sub-processor declaration, trust center</w:t>
            </w:r>
          </w:p>
        </w:tc>
      </w:tr>
      <w:tr>
        <w:trPr>
          <w:cantSplit/>
        </w:trPr>
        <w:tc>
          <w:tcPr>
            <w:tcW w:w="577" w:type="dxa"/>
          </w:tcPr>
          <w:p>
            <w:pPr>
              <w:pStyle w:val="TableText"/>
            </w:pPr>
            <w:r>
              <w:t xml:space="preserve">7.2</w:t>
            </w:r>
          </w:p>
        </w:tc>
        <w:tc>
          <w:tcPr>
            <w:tcW w:w="3466" w:type="dxa"/>
          </w:tcPr>
          <w:p>
            <w:pPr>
              <w:pStyle w:val="TableText"/>
            </w:pPr>
            <w:r>
              <w:t xml:space="preserve">What is the delivery partner's role?</w:t>
            </w:r>
          </w:p>
        </w:tc>
        <w:tc>
          <w:tcPr>
            <w:tcW w:w="3466" w:type="dxa"/>
          </w:tcPr>
          <w:p>
            <w:pPr>
              <w:pStyle w:val="TableText"/>
            </w:pPr>
            <w:r>
              <w:t xml:space="preserve">A commercial contractor that directs the work. It is outside the processing chain.</w:t>
            </w:r>
          </w:p>
        </w:tc>
        <w:tc>
          <w:tcPr>
            <w:tcW w:w="1851" w:type="dxa"/>
          </w:tcPr>
          <w:p>
            <w:pPr>
              <w:pStyle w:val="TableText"/>
            </w:pPr>
            <w:r>
              <w:t xml:space="preserve">Data processing agreement</w:t>
            </w:r>
          </w:p>
        </w:tc>
      </w:tr>
      <w:tr>
        <w:trPr>
          <w:cantSplit/>
        </w:trPr>
        <w:tc>
          <w:tcPr>
            <w:tcW w:w="577" w:type="dxa"/>
          </w:tcPr>
          <w:p>
            <w:pPr>
              <w:pStyle w:val="TableText"/>
            </w:pPr>
            <w:r>
              <w:t xml:space="preserve">7.3</w:t>
            </w:r>
          </w:p>
        </w:tc>
        <w:tc>
          <w:tcPr>
            <w:tcW w:w="3466" w:type="dxa"/>
          </w:tcPr>
          <w:p>
            <w:pPr>
              <w:pStyle w:val="TableText"/>
            </w:pPr>
            <w:r>
              <w:t xml:space="preserve">How could this change?</w:t>
            </w:r>
          </w:p>
        </w:tc>
        <w:tc>
          <w:tcPr>
            <w:tcW w:w="3466" w:type="dxa"/>
          </w:tcPr>
          <w:p>
            <w:pPr>
              <w:pStyle w:val="TableText"/>
            </w:pPr>
            <w:r>
              <w:t xml:space="preserve">Only with the client's prior written consent. Any sub-processor would carry the same obligations.</w:t>
            </w:r>
          </w:p>
        </w:tc>
        <w:tc>
          <w:tcPr>
            <w:tcW w:w="1851" w:type="dxa"/>
          </w:tcPr>
          <w:p>
            <w:pPr>
              <w:pStyle w:val="TableText"/>
            </w:pPr>
            <w:r>
              <w:t xml:space="preserve">Data processing agreement</w:t>
            </w:r>
          </w:p>
        </w:tc>
      </w:tr>
    </w:tbl>
    <w:p>
      <w:pPr>
        <w:pStyle w:val="TableSpacer"/>
      </w:pPr>
    </w:p>
    <w:p>
      <w:pPr>
        <w:pStyle w:val="Heading2"/>
      </w:pPr>
      <w:r>
        <w:t xml:space="preserve">Business continuity</w:t>
      </w:r>
    </w:p>
    <w:tbl>
      <w:tblPr>
        <w:tblStyle w:val="SWTable"/>
        <w:tblW w:w="9360" w:type="dxa"/>
        <w:tblLayout w:type="fixed"/>
        <w:tblLook w:val="0420" w:firstRow="1" w:lastRow="0" w:firstColumn="0" w:lastColumn="0" w:noHBand="1" w:noVBand="1"/>
      </w:tblPr>
      <w:tblGrid>
        <w:gridCol w:w="577"/>
        <w:gridCol w:w="3466"/>
        <w:gridCol w:w="3466"/>
        <w:gridCol w:w="1851"/>
      </w:tblGrid>
      <w:tr>
        <w:trPr>
          <w:cantSplit/>
          <w:tblHeader/>
        </w:trPr>
        <w:tc>
          <w:tcPr>
            <w:tcW w:w="577" w:type="dxa"/>
          </w:tcPr>
          <w:p>
            <w:pPr>
              <w:pStyle w:val="TableHeading"/>
            </w:pPr>
            <w:r>
              <w:t xml:space="preserve">No.</w:t>
            </w:r>
          </w:p>
        </w:tc>
        <w:tc>
          <w:tcPr>
            <w:tcW w:w="3466" w:type="dxa"/>
          </w:tcPr>
          <w:p>
            <w:pPr>
              <w:pStyle w:val="TableHeading"/>
            </w:pPr>
            <w:r>
              <w:t xml:space="preserve">Question</w:t>
            </w:r>
          </w:p>
        </w:tc>
        <w:tc>
          <w:tcPr>
            <w:tcW w:w="3466" w:type="dxa"/>
          </w:tcPr>
          <w:p>
            <w:pPr>
              <w:pStyle w:val="TableHeading"/>
            </w:pPr>
            <w:r>
              <w:t xml:space="preserve">Answer</w:t>
            </w:r>
          </w:p>
        </w:tc>
        <w:tc>
          <w:tcPr>
            <w:tcW w:w="1851" w:type="dxa"/>
          </w:tcPr>
          <w:p>
            <w:pPr>
              <w:pStyle w:val="TableHeading"/>
            </w:pPr>
            <w:r>
              <w:t xml:space="preserve">Evidence</w:t>
            </w:r>
          </w:p>
        </w:tc>
      </w:tr>
      <w:tr>
        <w:trPr>
          <w:cantSplit/>
        </w:trPr>
        <w:tc>
          <w:tcPr>
            <w:tcW w:w="577" w:type="dxa"/>
          </w:tcPr>
          <w:p>
            <w:pPr>
              <w:pStyle w:val="TableText"/>
            </w:pPr>
            <w:r>
              <w:t xml:space="preserve">8.1</w:t>
            </w:r>
          </w:p>
        </w:tc>
        <w:tc>
          <w:tcPr>
            <w:tcW w:w="3466" w:type="dxa"/>
          </w:tcPr>
          <w:p>
            <w:pPr>
              <w:pStyle w:val="TableText"/>
            </w:pPr>
            <w:r>
              <w:t xml:space="preserve">What does delivery depend on?</w:t>
            </w:r>
          </w:p>
        </w:tc>
        <w:tc>
          <w:tcPr>
            <w:tcW w:w="3466" w:type="dxa"/>
          </w:tcPr>
          <w:p>
            <w:pPr>
              <w:pStyle w:val="TableText"/>
            </w:pPr>
            <w:r>
              <w:t xml:space="preserve">The client's own environment. SolerWorks hosts no system in the delivery path, so its availability does not affect the uptime of client systems.</w:t>
            </w:r>
          </w:p>
        </w:tc>
        <w:tc>
          <w:tcPr>
            <w:tcW w:w="1851" w:type="dxa"/>
          </w:tcPr>
          <w:p>
            <w:pPr>
              <w:pStyle w:val="TableText"/>
            </w:pPr>
            <w:r>
              <w:t xml:space="preserve">Data processing agreement, security measures annex</w:t>
            </w:r>
          </w:p>
        </w:tc>
      </w:tr>
      <w:tr>
        <w:trPr>
          <w:cantSplit/>
        </w:trPr>
        <w:tc>
          <w:tcPr>
            <w:tcW w:w="577" w:type="dxa"/>
          </w:tcPr>
          <w:p>
            <w:pPr>
              <w:pStyle w:val="TableText"/>
            </w:pPr>
            <w:r>
              <w:t xml:space="preserve">8.2</w:t>
            </w:r>
          </w:p>
        </w:tc>
        <w:tc>
          <w:tcPr>
            <w:tcW w:w="3466" w:type="dxa"/>
          </w:tcPr>
          <w:p>
            <w:pPr>
              <w:pStyle w:val="TableText"/>
            </w:pPr>
            <w:r>
              <w:t xml:space="preserve">How does SolerWorks stay reachable?</w:t>
            </w:r>
          </w:p>
        </w:tc>
        <w:tc>
          <w:tcPr>
            <w:tcW w:w="3466" w:type="dxa"/>
          </w:tcPr>
          <w:p>
            <w:pPr>
              <w:pStyle w:val="TableText"/>
            </w:pPr>
            <w:r>
              <w:t xml:space="preserve">Separate mailboxes for privacy, legal and general contact: privacy@solerworks.com, legal@solerworks.com and contact@solerworks.com.</w:t>
            </w:r>
          </w:p>
        </w:tc>
        <w:tc>
          <w:tcPr>
            <w:tcW w:w="1851" w:type="dxa"/>
          </w:tcPr>
          <w:p>
            <w:pPr>
              <w:pStyle w:val="TableText"/>
            </w:pPr>
            <w:r>
              <w:t xml:space="preserve">Governance page, solerworks.com/governance</w:t>
            </w:r>
          </w:p>
        </w:tc>
      </w:tr>
    </w:tbl>
    <w:p>
      <w:pPr>
        <w:pStyle w:val="TableSpacer"/>
      </w:pPr>
    </w:p>
    <w:sectPr>
      <w:headerReference w:type="default" r:id="rIdH"/>
      <w:footerReference w:type="default" r:id="rIdF"/>
      <w:pgSz w:w="12240" w:h="15840"/>
      <w:pgMar w:top="1701" w:right="1440" w:bottom="1701" w:left="1440" w:header="709" w:footer="567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font w:name="Geist">
    <w:altName w:val="Arial"/>
    <w:panose1 w:val="020B0604020202020204"/>
    <w:charset w:val="00"/>
    <w:family w:val="swiss"/>
    <w:pitch w:val="variable"/>
  </w:font>
  <w:font w:name="Geist Mono">
    <w:altName w:val="Courier New"/>
    <w:panose1 w:val="02070309020205020404"/>
    <w:charset w:val="00"/>
    <w:family w:val="modern"/>
    <w:pitch w:val="fixed"/>
  </w:font>
  <w:font w:name="Arial">
    <w:panose1 w:val="020B0604020202020204"/>
    <w:charset w:val="00"/>
    <w:family w:val="swiss"/>
    <w:pitch w:val="variable"/>
  </w:font>
  <w:font w:name="Courier New">
    <w:panose1 w:val="02070309020205020404"/>
    <w:charset w:val="00"/>
    <w:family w:val="modern"/>
    <w:pitch w:val="fixed"/>
  </w:font>
</w:fonts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tabs>
        <w:tab w:val="clear" w:pos="9026"/>
        <w:tab w:val="right" w:pos="9360"/>
      </w:tabs>
    </w:pPr>
    <w:r>
      <w:t xml:space="preserve">SOLERWORKS LTDA  ·  CNPJ 60.678.861/0001-55  ·  São Paulo, SP — Brazil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er2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  <w:tabs>
        <w:tab w:val="clear" w:pos="9026"/>
        <w:tab w:val="right" w:pos="9360"/>
      </w:tabs>
    </w:pPr>
    <w:r>
      <w:drawing>
        <wp:inline distT="0" distB="0" distL="0" distR="0">
          <wp:extent cx="954405" cy="182880"/>
          <wp:docPr id="20" name="SolerWorks" descr="SolerWorks"/>
          <a:graphic>
            <a:graphicData uri="http://schemas.openxmlformats.org/drawingml/2006/picture">
              <pic:pic>
                <pic:nvPicPr>
                  <pic:cNvPr id="20" name="solerwork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54405" cy="182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fldChar w:fldCharType="begin"/>
    </w:r>
    <w:r>
      <w:instrText xml:space="preserve"> STYLEREF  Title </w:instrText>
    </w:r>
    <w:r>
      <w:fldChar w:fldCharType="separate"/>
    </w:r>
    <w:r>
      <w:t/>
    </w:r>
    <w:r>
      <w:fldChar w:fldCharType="end"/>
    </w:r>
  </w:p>
</w:hdr>
</file>

<file path=word/header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</w:p>
</w:hd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1">
    <w:multiLevelType w:val="multilevel"/>
    <w:name w:val="SolerWorks Clauses"/>
    <w:lvl w:ilvl="0">
      <w:start w:val="1"/>
      <w:numFmt w:val="decimal"/>
      <w:pStyle w:val="Clause1"/>
      <w:lvlText w:val="%1."/>
      <w:lvlJc w:val="left"/>
      <w:pPr>
        <w:tabs>
          <w:tab w:val="num" w:pos="709"/>
        </w:tabs>
        <w:ind w:left="709" w:hanging="709"/>
      </w:pPr>
    </w:lvl>
    <w:lvl w:ilvl="1">
      <w:start w:val="1"/>
      <w:numFmt w:val="decimal"/>
      <w:pStyle w:val="Clause2"/>
      <w:lvlText w:val="%1.%2"/>
      <w:lvlJc w:val="left"/>
      <w:pPr>
        <w:tabs>
          <w:tab w:val="num" w:pos="709"/>
        </w:tabs>
        <w:ind w:left="709" w:hanging="709"/>
      </w:pPr>
    </w:lvl>
    <w:lvl w:ilvl="2">
      <w:start w:val="1"/>
      <w:numFmt w:val="decimal"/>
      <w:pStyle w:val="Clause3"/>
      <w:lvlText w:val="%1.%2.%3"/>
      <w:lvlJc w:val="left"/>
      <w:pPr>
        <w:tabs>
          <w:tab w:val="num" w:pos="1559"/>
        </w:tabs>
        <w:ind w:left="1559" w:hanging="850"/>
      </w:pPr>
    </w:lvl>
    <w:lvl w:ilvl="3">
      <w:start w:val="1"/>
      <w:numFmt w:val="lowerLetter"/>
      <w:pStyle w:val="Clause4"/>
      <w:lvlText w:val="(%4)"/>
      <w:lvlJc w:val="left"/>
      <w:pPr>
        <w:tabs>
          <w:tab w:val="num" w:pos="2126"/>
        </w:tabs>
        <w:ind w:left="2126" w:hanging="567"/>
      </w:pPr>
    </w:lvl>
  </w:abstractNum>
  <w:abstractNum w:abstractNumId="2">
    <w:multiLevelType w:val="hybridMultilevel"/>
    <w:lvl w:ilvl="0">
      <w:start w:val="1"/>
      <w:numFmt w:val="bullet"/>
      <w:lvlText w:val="–"/>
      <w:lvlJc w:val="left"/>
      <w:pPr>
        <w:tabs>
          <w:tab w:val="num" w:pos="425"/>
        </w:tabs>
        <w:ind w:left="425" w:hanging="283"/>
      </w:pPr>
    </w:lvl>
  </w:abstractNum>
  <w:abstractNum w:abstractNumId="3">
    <w:multiLevelType w:val="multilevel"/>
    <w:name w:val="SolerWorks Schedules"/>
    <w:lvl w:ilvl="0">
      <w:start w:val="1"/>
      <w:numFmt w:val="decimal"/>
      <w:pStyle w:val="ScheduleHeading"/>
      <w:suff w:val="space"/>
      <w:lvlText w:val="Schedule %1: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zoom w:percent="100"/>
  <w:defaultTabStop w:val="709"/>
  <w:characterSpacingControl w:val="doNotCompress"/>
  <w:compat>
    <w:compatSetting w:name="compatibilityMode" w:uri="http://schemas.microsoft.com/office/word" w:val="15"/>
  </w:compat>
  <w:themeFontLang w:val="en-US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Geist" w:hAnsi="Geist" w:cs="Geist" w:eastAsia="Geist"/>
        <w:color w:val="0F172A"/>
        <w:sz w:val="20"/>
        <w:szCs w:val="20"/>
        <w:lang w:val="en-US"/>
      </w:rPr>
    </w:rPrDefault>
    <w:pPrDefault>
      <w:pPr>
        <w:spacing w:after="120" w:line="288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</w:style>
  <w:style w:type="paragraph" w:styleId="BodyText">
    <w:name w:val="Body Text"/>
    <w:basedOn w:val="Normal"/>
    <w:qFormat/>
    <w:pPr>
      <w:spacing w:after="140"/>
    </w:pPr>
  </w:style>
  <w:style w:type="paragraph" w:styleId="Title">
    <w:name w:val="Title"/>
    <w:basedOn w:val="Normal"/>
    <w:next w:val="Subtitle"/>
    <w:qFormat/>
    <w:pPr>
      <w:spacing w:before="1200" w:after="160" w:line="240" w:lineRule="auto"/>
      <w:contextualSpacing/>
    </w:pPr>
    <w:rPr>
      <w:rFonts w:ascii="Geist" w:hAnsi="Geist" w:cs="Geist" w:eastAsia="Geist"/>
      <w:b/>
      <w:bCs/>
      <w:color w:val="0F172A"/>
      <w:spacing w:val="-10"/>
      <w:sz w:val="56"/>
      <w:szCs w:val="56"/>
    </w:rPr>
  </w:style>
  <w:style w:type="paragraph" w:styleId="Subtitle">
    <w:name w:val="Subtitle"/>
    <w:basedOn w:val="Normal"/>
    <w:next w:val="BodyText"/>
    <w:qFormat/>
    <w:pPr>
      <w:spacing w:after="480"/>
    </w:pPr>
    <w:rPr>
      <w:rFonts w:ascii="Geist" w:hAnsi="Geist" w:cs="Geist" w:eastAsia="Geist"/>
      <w:color w:val="64748B"/>
      <w:sz w:val="26"/>
      <w:szCs w:val="26"/>
    </w:rPr>
  </w:style>
  <w:style w:type="paragraph" w:styleId="Heading1">
    <w:name w:val="heading 1"/>
    <w:basedOn w:val="Normal"/>
    <w:next w:val="BodyText"/>
    <w:qFormat/>
    <w:pPr>
      <w:keepNext/>
      <w:keepLines/>
      <w:spacing w:before="480" w:after="160" w:line="259" w:lineRule="auto"/>
      <w:outlineLvl w:val="0"/>
    </w:pPr>
    <w:rPr>
      <w:rFonts w:ascii="Geist" w:hAnsi="Geist" w:cs="Geist" w:eastAsia="Geist"/>
      <w:b/>
      <w:bCs/>
      <w:color w:val="0F172A"/>
      <w:sz w:val="32"/>
      <w:szCs w:val="32"/>
    </w:rPr>
  </w:style>
  <w:style w:type="paragraph" w:styleId="Heading2">
    <w:name w:val="heading 2"/>
    <w:basedOn w:val="Normal"/>
    <w:next w:val="BodyText"/>
    <w:qFormat/>
    <w:pPr>
      <w:keepNext/>
      <w:keepLines/>
      <w:spacing w:before="360" w:after="120" w:line="259" w:lineRule="auto"/>
      <w:outlineLvl w:val="1"/>
    </w:pPr>
    <w:rPr>
      <w:rFonts w:ascii="Geist" w:hAnsi="Geist" w:cs="Geist" w:eastAsia="Geist"/>
      <w:b/>
      <w:bCs/>
      <w:color w:val="0F172A"/>
      <w:sz w:val="24"/>
      <w:szCs w:val="24"/>
    </w:rPr>
  </w:style>
  <w:style w:type="paragraph" w:styleId="Heading3">
    <w:name w:val="heading 3"/>
    <w:basedOn w:val="Normal"/>
    <w:next w:val="BodyText"/>
    <w:qFormat/>
    <w:pPr>
      <w:keepNext/>
      <w:keepLines/>
      <w:spacing w:before="280" w:after="100" w:line="259" w:lineRule="auto"/>
      <w:outlineLvl w:val="2"/>
    </w:pPr>
    <w:rPr>
      <w:rFonts w:ascii="Geist" w:hAnsi="Geist" w:cs="Geist" w:eastAsia="Geist"/>
      <w:b/>
      <w:bCs/>
      <w:color w:val="64748B"/>
      <w:sz w:val="20"/>
      <w:szCs w:val="20"/>
    </w:rPr>
  </w:style>
  <w:style w:type="paragraph" w:styleId="Clause1">
    <w:name w:val="Clause 1"/>
    <w:basedOn w:val="Normal"/>
    <w:next w:val="Clause2"/>
    <w:qFormat/>
    <w:pPr>
      <w:keepNext/>
      <w:keepLines/>
      <w:numPr>
        <w:ilvl w:val="0"/>
        <w:numId w:val="1"/>
      </w:numPr>
      <w:spacing w:before="400" w:after="140"/>
      <w:outlineLvl w:val="0"/>
    </w:pPr>
    <w:rPr>
      <w:rFonts w:ascii="Geist" w:hAnsi="Geist" w:cs="Geist" w:eastAsia="Geist"/>
      <w:b/>
      <w:bCs/>
      <w:caps/>
      <w:color w:val="0F172A"/>
      <w:spacing w:val="10"/>
      <w:sz w:val="22"/>
      <w:szCs w:val="22"/>
    </w:rPr>
  </w:style>
  <w:style w:type="paragraph" w:styleId="Clause2">
    <w:name w:val="Clause 2"/>
    <w:basedOn w:val="Normal"/>
    <w:qFormat/>
    <w:pPr>
      <w:numPr>
        <w:ilvl w:val="1"/>
        <w:numId w:val="1"/>
      </w:numPr>
      <w:spacing w:after="140"/>
      <w:jc w:val="both"/>
    </w:pPr>
  </w:style>
  <w:style w:type="paragraph" w:styleId="Clause3">
    <w:name w:val="Clause 3"/>
    <w:basedOn w:val="Normal"/>
    <w:qFormat/>
    <w:pPr>
      <w:numPr>
        <w:ilvl w:val="2"/>
        <w:numId w:val="1"/>
      </w:numPr>
      <w:spacing w:after="140"/>
      <w:jc w:val="both"/>
    </w:pPr>
  </w:style>
  <w:style w:type="paragraph" w:styleId="Clause4">
    <w:name w:val="Clause 4"/>
    <w:basedOn w:val="Normal"/>
    <w:qFormat/>
    <w:pPr>
      <w:numPr>
        <w:ilvl w:val="3"/>
        <w:numId w:val="1"/>
      </w:numPr>
      <w:spacing w:after="140"/>
      <w:jc w:val="both"/>
    </w:pPr>
  </w:style>
  <w:style w:type="paragraph" w:styleId="ScheduleHeading">
    <w:name w:val="Schedule Heading"/>
    <w:basedOn w:val="Normal"/>
    <w:next w:val="BodyText"/>
    <w:qFormat/>
    <w:pPr>
      <w:keepNext/>
      <w:pageBreakBefore/>
      <w:numPr>
        <w:ilvl w:val="0"/>
        <w:numId w:val="3"/>
      </w:numPr>
      <w:spacing w:before="0" w:after="240"/>
      <w:outlineLvl w:val="0"/>
    </w:pPr>
    <w:rPr>
      <w:rFonts w:ascii="Geist" w:hAnsi="Geist" w:cs="Geist" w:eastAsia="Geist"/>
      <w:b/>
      <w:bCs/>
      <w:color w:val="0F172A"/>
      <w:sz w:val="32"/>
      <w:szCs w:val="32"/>
    </w:rPr>
  </w:style>
  <w:style w:type="paragraph" w:styleId="ListBullet">
    <w:name w:val="List Bullet"/>
    <w:basedOn w:val="BodyText"/>
    <w:qFormat/>
    <w:pPr>
      <w:numPr>
        <w:ilvl w:val="0"/>
        <w:numId w:val="2"/>
      </w:numPr>
      <w:contextualSpacing/>
    </w:pPr>
  </w:style>
  <w:style w:type="paragraph" w:styleId="Caption">
    <w:name w:val="caption"/>
    <w:basedOn w:val="Normal"/>
    <w:next w:val="BodyText"/>
    <w:qFormat/>
    <w:pPr>
      <w:keepNext/>
      <w:spacing w:before="240" w:after="80"/>
    </w:pPr>
    <w:rPr>
      <w:rFonts w:ascii="Geist" w:hAnsi="Geist" w:cs="Geist" w:eastAsia="Geist"/>
      <w:b/>
      <w:bCs/>
      <w:caps/>
      <w:color w:val="64748B"/>
      <w:spacing w:val="12"/>
      <w:sz w:val="17"/>
      <w:szCs w:val="17"/>
    </w:rPr>
  </w:style>
  <w:style w:type="paragraph" w:styleId="Note">
    <w:name w:val="Note"/>
    <w:basedOn w:val="BodyText"/>
    <w:qFormat/>
    <w:pPr/>
    <w:rPr>
      <w:rFonts w:ascii="Geist" w:hAnsi="Geist" w:cs="Geist" w:eastAsia="Geist"/>
      <w:color w:val="64748B"/>
      <w:sz w:val="17"/>
      <w:szCs w:val="17"/>
    </w:rPr>
  </w:style>
  <w:style w:type="paragraph" w:styleId="AddressBlock">
    <w:name w:val="Address Block"/>
    <w:basedOn w:val="BodyText"/>
    <w:qFormat/>
    <w:pPr>
      <w:spacing w:after="0"/>
      <w:contextualSpacing/>
    </w:pPr>
  </w:style>
  <w:style w:type="paragraph" w:styleId="TableText">
    <w:name w:val="Table Text"/>
    <w:basedOn w:val="Normal"/>
    <w:qFormat/>
    <w:pPr>
      <w:spacing w:before="60" w:after="60" w:line="259" w:lineRule="auto"/>
    </w:pPr>
    <w:rPr>
      <w:rFonts w:ascii="Geist" w:hAnsi="Geist" w:cs="Geist" w:eastAsia="Geist"/>
      <w:sz w:val="18"/>
      <w:szCs w:val="18"/>
    </w:rPr>
  </w:style>
  <w:style w:type="paragraph" w:styleId="TableHeading">
    <w:name w:val="Table Heading"/>
    <w:basedOn w:val="TableText"/>
    <w:qFormat/>
    <w:pPr>
      <w:keepNext/>
    </w:pPr>
    <w:rPr>
      <w:rFonts w:ascii="Geist" w:hAnsi="Geist" w:cs="Geist" w:eastAsia="Geist"/>
      <w:b/>
      <w:bCs/>
      <w:caps/>
      <w:color w:val="64748B"/>
      <w:spacing w:val="10"/>
      <w:sz w:val="16"/>
      <w:szCs w:val="16"/>
    </w:rPr>
  </w:style>
  <w:style w:type="paragraph" w:styleId="TableSpacer">
    <w:name w:val="Table Spacer"/>
    <w:basedOn w:val="Normal"/>
    <w:pPr>
      <w:spacing w:after="120" w:line="240" w:lineRule="auto"/>
    </w:pPr>
    <w:rPr>
      <w:sz w:val="8"/>
      <w:szCs w:val="8"/>
    </w:rPr>
  </w:style>
  <w:style w:type="paragraph" w:styleId="CoverLogo">
    <w:name w:val="Cover Logo"/>
    <w:basedOn w:val="Normal"/>
    <w:pPr>
      <w:spacing w:before="0" w:after="0"/>
    </w:pPr>
  </w:style>
  <w:style w:type="paragraph" w:styleId="CoverNote">
    <w:name w:val="Cover Note"/>
    <w:basedOn w:val="Normal"/>
    <w:pPr>
      <w:spacing w:before="480"/>
    </w:pPr>
    <w:rPr>
      <w:rFonts w:ascii="Geist" w:hAnsi="Geist" w:cs="Geist" w:eastAsia="Geist"/>
      <w:color w:val="64748B"/>
      <w:sz w:val="17"/>
      <w:szCs w:val="17"/>
    </w:rPr>
  </w:style>
  <w:style w:type="paragraph" w:styleId="SignatureLabel">
    <w:name w:val="Signature Label"/>
    <w:basedOn w:val="Normal"/>
    <w:qFormat/>
    <w:pPr>
      <w:spacing w:before="40" w:after="0"/>
    </w:pPr>
    <w:rPr>
      <w:rFonts w:ascii="Geist" w:hAnsi="Geist" w:cs="Geist" w:eastAsia="Geist"/>
      <w:color w:val="64748B"/>
      <w:sz w:val="17"/>
      <w:szCs w:val="17"/>
    </w:rPr>
  </w:style>
  <w:style w:type="paragraph" w:styleId="SignatureParty">
    <w:name w:val="Signature Party"/>
    <w:basedOn w:val="Normal"/>
    <w:next w:val="SignatureLine"/>
    <w:qFormat/>
    <w:pPr>
      <w:keepNext/>
      <w:spacing w:after="0"/>
    </w:pPr>
    <w:rPr>
      <w:rFonts w:ascii="Geist" w:hAnsi="Geist" w:cs="Geist" w:eastAsia="Geist"/>
      <w:b/>
      <w:bCs/>
      <w:sz w:val="20"/>
      <w:szCs w:val="20"/>
    </w:rPr>
  </w:style>
  <w:style w:type="paragraph" w:styleId="SignatureLine">
    <w:name w:val="Signature Line"/>
    <w:basedOn w:val="Normal"/>
    <w:next w:val="SignatureLabel"/>
    <w:qFormat/>
    <w:pPr>
      <w:keepNext/>
      <w:pBdr>
        <w:bottom w:val="single" w:sz="6" w:space="1" w:color="0F172A"/>
      </w:pBdr>
      <w:spacing w:before="480" w:after="0"/>
    </w:pPr>
  </w:style>
  <w:style w:type="paragraph" w:styleId="TOCHeading">
    <w:name w:val="TOC Heading"/>
    <w:basedOn w:val="Normal"/>
    <w:next w:val="BodyText"/>
    <w:qFormat/>
    <w:pPr>
      <w:spacing w:before="0" w:after="320"/>
    </w:pPr>
    <w:rPr>
      <w:rFonts w:ascii="Geist" w:hAnsi="Geist" w:cs="Geist" w:eastAsia="Geist"/>
      <w:b/>
      <w:bCs/>
      <w:color w:val="0F172A"/>
      <w:sz w:val="32"/>
      <w:szCs w:val="32"/>
    </w:rPr>
  </w:style>
  <w:style w:type="paragraph" w:styleId="TOC1">
    <w:name w:val="toc 1"/>
    <w:basedOn w:val="Normal"/>
    <w:uiPriority w:val="39"/>
    <w:pPr>
      <w:tabs>
        <w:tab w:val="right" w:leader="dot" w:pos="9000"/>
      </w:tabs>
      <w:spacing w:after="100"/>
      <w:ind w:left="0"/>
    </w:pPr>
    <w:rPr>
      <w:rFonts w:ascii="Geist" w:hAnsi="Geist" w:cs="Geist" w:eastAsia="Geist"/>
      <w:b/>
      <w:bCs/>
      <w:sz w:val="20"/>
      <w:szCs w:val="20"/>
    </w:rPr>
  </w:style>
  <w:style w:type="paragraph" w:styleId="TOC2">
    <w:name w:val="toc 2"/>
    <w:basedOn w:val="Normal"/>
    <w:uiPriority w:val="39"/>
    <w:pPr>
      <w:tabs>
        <w:tab w:val="right" w:leader="dot" w:pos="9000"/>
      </w:tabs>
      <w:spacing w:after="100"/>
      <w:ind w:left="284"/>
    </w:pPr>
    <w:rPr>
      <w:rFonts w:ascii="Geist" w:hAnsi="Geist" w:cs="Geist" w:eastAsia="Geist"/>
      <w:sz w:val="20"/>
      <w:szCs w:val="20"/>
    </w:rPr>
  </w:style>
  <w:style w:type="paragraph" w:styleId="TOC3">
    <w:name w:val="toc 3"/>
    <w:basedOn w:val="Normal"/>
    <w:uiPriority w:val="39"/>
    <w:pPr>
      <w:tabs>
        <w:tab w:val="right" w:leader="dot" w:pos="9000"/>
      </w:tabs>
      <w:spacing w:after="100"/>
      <w:ind w:left="567"/>
    </w:pPr>
    <w:rPr>
      <w:rFonts w:ascii="Geist" w:hAnsi="Geist" w:cs="Geist" w:eastAsia="Geist"/>
      <w:sz w:val="20"/>
      <w:szCs w:val="20"/>
    </w:rPr>
  </w:style>
  <w:style w:type="paragraph" w:styleId="Header">
    <w:name w:val="header"/>
    <w:basedOn w:val="Normal"/>
    <w:uiPriority w:val="99"/>
    <w:pPr>
      <w:tabs>
        <w:tab w:val="right" w:pos="9026"/>
      </w:tabs>
      <w:spacing w:after="0"/>
    </w:pPr>
    <w:rPr>
      <w:rFonts w:ascii="Geist" w:hAnsi="Geist" w:cs="Geist" w:eastAsia="Geist"/>
      <w:color w:val="64748B"/>
      <w:sz w:val="16"/>
      <w:szCs w:val="16"/>
    </w:rPr>
  </w:style>
  <w:style w:type="paragraph" w:styleId="Footer">
    <w:name w:val="footer"/>
    <w:basedOn w:val="Normal"/>
    <w:uiPriority w:val="99"/>
    <w:pPr>
      <w:pBdr>
        <w:top w:val="single" w:sz="4" w:space="6" w:color="E2E8F0"/>
      </w:pBdr>
      <w:tabs>
        <w:tab w:val="right" w:pos="9026"/>
      </w:tabs>
      <w:spacing w:after="0" w:line="240" w:lineRule="auto"/>
    </w:pPr>
    <w:rPr>
      <w:rFonts w:ascii="Geist" w:hAnsi="Geist" w:cs="Geist" w:eastAsia="Geist"/>
      <w:color w:val="64748B"/>
      <w:sz w:val="15"/>
      <w:szCs w:val="15"/>
    </w:rPr>
  </w:style>
  <w:style w:type="character" w:styleId="Placeholder">
    <w:name w:val="Placeholder"/>
    <w:qFormat/>
    <w:rPr>
      <w:color w:val="1D4ED8"/>
      <w:shd w:val="clear" w:color="auto" w:fill="DBEAFE"/>
    </w:rPr>
  </w:style>
  <w:style w:type="character" w:styleId="Reference">
    <w:name w:val="Reference"/>
    <w:qFormat/>
    <w:rPr>
      <w:rFonts w:ascii="Geist Mono" w:hAnsi="Geist Mono" w:cs="Geist Mono" w:eastAsia="Geist Mono"/>
      <w:sz w:val="18"/>
      <w:szCs w:val="18"/>
    </w:rPr>
  </w:style>
  <w:style w:type="table" w:styleId="SWTable">
    <w:name w:val="SolerWorks Table"/>
    <w:basedOn w:val="TableNormal"/>
    <w:qFormat/>
    <w:tblPr>
      <w:tblBorders>
        <w:top w:val="single" w:sz="6" w:space="0" w:color="64748B"/>
        <w:bottom w:val="single" w:sz="6" w:space="0" w:color="64748B"/>
        <w:insideH w:val="single" w:sz="4" w:space="0" w:color="E2E8F0"/>
      </w:tblBorders>
      <w:tblCellMar>
        <w:top w:w="40" w:type="dxa"/>
        <w:left w:w="100" w:type="dxa"/>
        <w:bottom w:w="40" w:type="dxa"/>
        <w:right w:w="100" w:type="dxa"/>
      </w:tblCellMar>
    </w:tblPr>
    <w:tblStylePr w:type="firstRow">
      <w:tcPr>
        <w:tcBorders>
          <w:bottom w:val="single" w:sz="6" w:space="0" w:color="64748B"/>
        </w:tcBorders>
        <w:shd w:val="clear" w:color="auto" w:fill="F1F5F9"/>
      </w:tcPr>
    </w:tblStylePr>
  </w:style>
  <w:style w:type="table" w:styleId="SWForm">
    <w:name w:val="SolerWorks Form"/>
    <w:basedOn w:val="TableNormal"/>
    <w:qFormat/>
    <w:tblPr>
      <w:tblBorders>
        <w:top w:val="single" w:sz="4" w:space="0" w:color="E2E8F0"/>
        <w:left w:val="single" w:sz="4" w:space="0" w:color="E2E8F0"/>
        <w:bottom w:val="single" w:sz="4" w:space="0" w:color="E2E8F0"/>
        <w:right w:val="single" w:sz="4" w:space="0" w:color="E2E8F0"/>
        <w:insideH w:val="single" w:sz="4" w:space="0" w:color="E2E8F0"/>
        <w:insideV w:val="single" w:sz="4" w:space="0" w:color="E2E8F0"/>
      </w:tblBorders>
      <w:tblCellMar>
        <w:top w:w="40" w:type="dxa"/>
        <w:left w:w="100" w:type="dxa"/>
        <w:bottom w:w="40" w:type="dxa"/>
        <w:right w:w="100" w:type="dxa"/>
      </w:tblCellMar>
    </w:tblPr>
    <w:tblStylePr w:type="firstCol">
      <w:rPr>
        <w:b/>
        <w:color w:val="64748B"/>
      </w:rPr>
      <w:tcPr>
        <w:shd w:val="clear" w:color="auto" w:fill="F1F5F9"/>
      </w:tcPr>
    </w:tblStylePr>
  </w:style>
  <w:style w:type="table" w:styleId="SWSignature">
    <w:name w:val="SolerWorks Signature"/>
    <w:basedOn w:val="TableNormal"/>
    <w:qFormat/>
    <w:tblPr>
      <w:tblCellMar>
        <w:top w:w="0" w:type="dxa"/>
        <w:left w:w="0" w:type="dxa"/>
        <w:bottom w:w="0" w:type="dxa"/>
        <w:right w:w="36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N" Type="http://schemas.openxmlformats.org/officeDocument/2006/relationships/numbering" Target="numbering.xml"/><Relationship Id="rIdSet" Type="http://schemas.openxmlformats.org/officeDocument/2006/relationships/settings" Target="settings.xml"/><Relationship Id="rIdFt" Type="http://schemas.openxmlformats.org/officeDocument/2006/relationships/fontTable" Target="fontTable.xml"/><Relationship Id="rIdH" Type="http://schemas.openxmlformats.org/officeDocument/2006/relationships/header" Target="header1.xml"/><Relationship Id="rIdF" Type="http://schemas.openxmlformats.org/officeDocument/2006/relationships/footer" Target="footer1.xml"/><Relationship Id="rIdHE" Type="http://schemas.openxmlformats.org/officeDocument/2006/relationships/header" Target="header2.xml"/><Relationship Id="rIdFE" Type="http://schemas.openxmlformats.org/officeDocument/2006/relationships/footer" Target="footer2.xml"/><Relationship Id="rIdLogo" Type="http://schemas.openxmlformats.org/officeDocument/2006/relationships/image" Target="media/solerworks.pn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solerworks.png"/></Relationships>
</file>

<file path=docProps/app.xml><?xml version="1.0" encoding="utf-8"?>
<Properties xmlns="http://schemas.openxmlformats.org/officeDocument/2006/extended-properties">
  <Application>Microsoft Office Word</Application>
  <Company>SolerWorks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Security Questionnaire</dc:title>
  <dc:creator>SolerWorks</dc:creator>
  <dcterms:created xsi:type="dcterms:W3CDTF">2026-09-20T00:03:30Z</dcterms:created>
</cp:coreProperties>
</file>